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line="360" w:lineRule="auto"/>
        <w:jc w:val="center"/>
        <w:rPr>
          <w:rFonts w:hint="eastAsia"/>
          <w:color w:val="auto"/>
          <w:sz w:val="40"/>
          <w:szCs w:val="48"/>
          <w:highlight w:val="none"/>
        </w:rPr>
      </w:pPr>
    </w:p>
    <w:p>
      <w:pPr>
        <w:pStyle w:val="2"/>
        <w:spacing w:before="11" w:line="360" w:lineRule="auto"/>
        <w:jc w:val="center"/>
        <w:rPr>
          <w:color w:val="auto"/>
          <w:sz w:val="20"/>
          <w:highlight w:val="none"/>
        </w:rPr>
      </w:pPr>
      <w:r>
        <w:rPr>
          <w:rFonts w:hint="eastAsia"/>
          <w:color w:val="auto"/>
          <w:sz w:val="40"/>
          <w:szCs w:val="48"/>
          <w:highlight w:val="none"/>
        </w:rPr>
        <w:t>四川都金山地轨道交通有限责任公司</w:t>
      </w:r>
      <w:r>
        <w:rPr>
          <w:rFonts w:hint="eastAsia"/>
          <w:color w:val="auto"/>
          <w:sz w:val="40"/>
          <w:szCs w:val="48"/>
          <w:highlight w:val="none"/>
          <w:lang w:val="en-US" w:eastAsia="zh-CN"/>
        </w:rPr>
        <w:t>物业</w:t>
      </w:r>
      <w:r>
        <w:rPr>
          <w:rFonts w:hint="eastAsia"/>
          <w:color w:val="auto"/>
          <w:sz w:val="40"/>
          <w:szCs w:val="48"/>
          <w:highlight w:val="none"/>
        </w:rPr>
        <w:t>服务项目</w:t>
      </w:r>
    </w:p>
    <w:p>
      <w:pPr>
        <w:pStyle w:val="2"/>
        <w:rPr>
          <w:color w:val="auto"/>
          <w:sz w:val="20"/>
          <w:highlight w:val="none"/>
        </w:rPr>
      </w:pPr>
      <w:r>
        <w:rPr>
          <w:rFonts w:hint="eastAsia"/>
          <w:color w:val="auto"/>
          <w:sz w:val="20"/>
          <w:highlight w:val="none"/>
          <w:lang w:val="en-US"/>
        </w:rPr>
        <w:t xml:space="preserve"> </w:t>
      </w: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spacing w:before="168"/>
        <w:ind w:right="459"/>
        <w:jc w:val="center"/>
        <w:rPr>
          <w:color w:val="auto"/>
          <w:sz w:val="72"/>
          <w:szCs w:val="72"/>
          <w:highlight w:val="none"/>
        </w:rPr>
      </w:pPr>
      <w:r>
        <w:rPr>
          <w:color w:val="auto"/>
          <w:sz w:val="72"/>
          <w:szCs w:val="72"/>
          <w:highlight w:val="none"/>
        </w:rPr>
        <w:t>招标文件</w:t>
      </w: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spacing w:before="8" w:line="720" w:lineRule="auto"/>
        <w:rPr>
          <w:color w:val="auto"/>
          <w:sz w:val="41"/>
          <w:highlight w:val="none"/>
        </w:rPr>
      </w:pPr>
    </w:p>
    <w:p>
      <w:pPr>
        <w:tabs>
          <w:tab w:val="left" w:pos="2590"/>
        </w:tabs>
        <w:spacing w:line="720" w:lineRule="auto"/>
        <w:ind w:right="454"/>
        <w:jc w:val="center"/>
        <w:rPr>
          <w:color w:val="auto"/>
          <w:sz w:val="28"/>
          <w:highlight w:val="none"/>
        </w:rPr>
      </w:pPr>
      <w:r>
        <w:rPr>
          <w:rFonts w:hint="eastAsia"/>
          <w:color w:val="auto"/>
          <w:sz w:val="28"/>
          <w:highlight w:val="none"/>
        </w:rPr>
        <w:t xml:space="preserve"> </w:t>
      </w:r>
      <w:r>
        <w:rPr>
          <w:color w:val="auto"/>
          <w:sz w:val="28"/>
          <w:highlight w:val="none"/>
        </w:rPr>
        <w:t xml:space="preserve">     招标人：</w:t>
      </w:r>
      <w:r>
        <w:rPr>
          <w:rFonts w:hint="eastAsia"/>
          <w:color w:val="auto"/>
          <w:sz w:val="28"/>
          <w:highlight w:val="none"/>
          <w:u w:val="single"/>
        </w:rPr>
        <w:t>四川都金山地轨道交通有限责任公司</w:t>
      </w:r>
      <w:r>
        <w:rPr>
          <w:color w:val="auto"/>
          <w:sz w:val="28"/>
          <w:highlight w:val="none"/>
        </w:rPr>
        <w:t>（盖单位章）</w:t>
      </w:r>
    </w:p>
    <w:p>
      <w:pPr>
        <w:tabs>
          <w:tab w:val="left" w:pos="2590"/>
        </w:tabs>
        <w:spacing w:line="720" w:lineRule="auto"/>
        <w:ind w:right="454"/>
        <w:jc w:val="center"/>
        <w:rPr>
          <w:color w:val="auto"/>
          <w:sz w:val="28"/>
          <w:highlight w:val="none"/>
        </w:rPr>
      </w:pPr>
      <w:r>
        <w:rPr>
          <w:rFonts w:hint="eastAsia"/>
          <w:color w:val="auto"/>
          <w:sz w:val="28"/>
          <w:highlight w:val="none"/>
        </w:rPr>
        <w:t xml:space="preserve"> </w:t>
      </w:r>
      <w:r>
        <w:rPr>
          <w:color w:val="auto"/>
          <w:sz w:val="28"/>
          <w:highlight w:val="none"/>
        </w:rPr>
        <w:t xml:space="preserve">   </w:t>
      </w:r>
      <w:r>
        <w:rPr>
          <w:rFonts w:hint="eastAsia"/>
          <w:color w:val="auto"/>
          <w:sz w:val="28"/>
          <w:highlight w:val="none"/>
        </w:rPr>
        <w:t>招标代理机构：</w:t>
      </w:r>
      <w:r>
        <w:rPr>
          <w:rFonts w:hint="eastAsia"/>
          <w:color w:val="auto"/>
          <w:sz w:val="28"/>
          <w:highlight w:val="none"/>
          <w:u w:val="single"/>
        </w:rPr>
        <w:t>中通建设工程管理有限公司</w:t>
      </w:r>
      <w:r>
        <w:rPr>
          <w:color w:val="auto"/>
          <w:sz w:val="28"/>
          <w:highlight w:val="none"/>
        </w:rPr>
        <w:t>（盖单位章）</w:t>
      </w:r>
    </w:p>
    <w:p>
      <w:pPr>
        <w:tabs>
          <w:tab w:val="left" w:pos="734"/>
          <w:tab w:val="left" w:pos="1749"/>
          <w:tab w:val="left" w:pos="2765"/>
        </w:tabs>
        <w:spacing w:before="62" w:line="720" w:lineRule="auto"/>
        <w:ind w:right="459"/>
        <w:jc w:val="center"/>
        <w:rPr>
          <w:color w:val="auto"/>
          <w:sz w:val="28"/>
          <w:highlight w:val="none"/>
        </w:rPr>
      </w:pPr>
      <w:r>
        <w:rPr>
          <w:rFonts w:hint="eastAsia" w:ascii="Times New Roman"/>
          <w:color w:val="auto"/>
          <w:sz w:val="28"/>
          <w:highlight w:val="none"/>
          <w:u w:val="single"/>
          <w:lang w:val="en-US"/>
        </w:rPr>
        <w:t>202</w:t>
      </w:r>
      <w:r>
        <w:rPr>
          <w:rFonts w:hint="eastAsia" w:ascii="Times New Roman"/>
          <w:color w:val="auto"/>
          <w:sz w:val="28"/>
          <w:highlight w:val="none"/>
          <w:u w:val="single"/>
          <w:lang w:val="en-US" w:eastAsia="zh-CN"/>
        </w:rPr>
        <w:t>2</w:t>
      </w:r>
      <w:r>
        <w:rPr>
          <w:color w:val="auto"/>
          <w:sz w:val="28"/>
          <w:highlight w:val="none"/>
        </w:rPr>
        <w:t>年</w:t>
      </w:r>
      <w:r>
        <w:rPr>
          <w:rFonts w:hint="eastAsia"/>
          <w:color w:val="auto"/>
          <w:sz w:val="28"/>
          <w:highlight w:val="none"/>
          <w:u w:val="single"/>
          <w:lang w:val="en-US" w:eastAsia="zh-CN"/>
        </w:rPr>
        <w:t>11</w:t>
      </w:r>
      <w:r>
        <w:rPr>
          <w:color w:val="auto"/>
          <w:sz w:val="28"/>
          <w:highlight w:val="none"/>
        </w:rPr>
        <w:t>月</w:t>
      </w:r>
    </w:p>
    <w:p>
      <w:pPr>
        <w:widowControl/>
        <w:autoSpaceDE/>
        <w:autoSpaceDN/>
        <w:rPr>
          <w:color w:val="auto"/>
          <w:sz w:val="28"/>
          <w:highlight w:val="none"/>
        </w:rPr>
      </w:pPr>
    </w:p>
    <w:p>
      <w:pPr>
        <w:widowControl/>
        <w:autoSpaceDE/>
        <w:autoSpaceDN/>
        <w:rPr>
          <w:color w:val="auto"/>
          <w:sz w:val="28"/>
          <w:highlight w:val="none"/>
        </w:rPr>
        <w:sectPr>
          <w:footerReference r:id="rId3" w:type="default"/>
          <w:type w:val="continuous"/>
          <w:pgSz w:w="11850" w:h="16783"/>
          <w:pgMar w:top="1380" w:right="1100" w:bottom="1464" w:left="1560" w:header="720" w:footer="720" w:gutter="0"/>
          <w:cols w:space="720" w:num="1"/>
        </w:sectPr>
      </w:pPr>
      <w:r>
        <w:rPr>
          <w:color w:val="auto"/>
          <w:sz w:val="28"/>
          <w:highlight w:val="none"/>
        </w:rPr>
        <w:br w:type="page"/>
      </w:r>
    </w:p>
    <w:p>
      <w:pPr>
        <w:rPr>
          <w:color w:val="auto"/>
          <w:sz w:val="28"/>
          <w:highlight w:val="none"/>
        </w:rPr>
      </w:pPr>
    </w:p>
    <w:p>
      <w:pPr>
        <w:spacing w:line="360" w:lineRule="auto"/>
        <w:jc w:val="center"/>
        <w:rPr>
          <w:b/>
          <w:bCs/>
          <w:color w:val="auto"/>
          <w:sz w:val="32"/>
          <w:szCs w:val="32"/>
          <w:highlight w:val="none"/>
        </w:rPr>
      </w:pPr>
      <w:r>
        <w:rPr>
          <w:rFonts w:hint="eastAsia"/>
          <w:b/>
          <w:bCs/>
          <w:color w:val="auto"/>
          <w:sz w:val="32"/>
          <w:szCs w:val="32"/>
          <w:highlight w:val="none"/>
        </w:rPr>
        <w:t>目</w:t>
      </w:r>
      <w:r>
        <w:rPr>
          <w:rFonts w:hint="eastAsia"/>
          <w:b/>
          <w:bCs/>
          <w:color w:val="auto"/>
          <w:sz w:val="32"/>
          <w:szCs w:val="32"/>
          <w:highlight w:val="none"/>
          <w:lang w:val="en-US"/>
        </w:rPr>
        <w:t xml:space="preserve">   </w:t>
      </w:r>
      <w:r>
        <w:rPr>
          <w:rFonts w:hint="eastAsia"/>
          <w:b/>
          <w:bCs/>
          <w:color w:val="auto"/>
          <w:sz w:val="32"/>
          <w:szCs w:val="32"/>
          <w:highlight w:val="none"/>
        </w:rPr>
        <w:t>录</w:t>
      </w:r>
    </w:p>
    <w:p>
      <w:pPr>
        <w:pStyle w:val="19"/>
        <w:tabs>
          <w:tab w:val="right" w:leader="dot" w:pos="9180"/>
        </w:tabs>
        <w:rPr>
          <w:rFonts w:asciiTheme="minorHAnsi" w:hAnsiTheme="minorHAnsi" w:eastAsiaTheme="minorEastAsia" w:cstheme="minorBidi"/>
          <w:color w:val="auto"/>
          <w:kern w:val="2"/>
          <w:szCs w:val="22"/>
          <w:highlight w:val="none"/>
          <w:lang w:val="en-US" w:bidi="ar-SA"/>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"_Toc72847671" </w:instrText>
      </w:r>
      <w:r>
        <w:rPr>
          <w:color w:val="auto"/>
          <w:highlight w:val="none"/>
        </w:rPr>
        <w:fldChar w:fldCharType="separate"/>
      </w:r>
      <w:r>
        <w:rPr>
          <w:rStyle w:val="33"/>
          <w:rFonts w:asciiTheme="majorEastAsia" w:hAnsiTheme="majorEastAsia" w:eastAsiaTheme="majorEastAsia"/>
          <w:color w:val="auto"/>
          <w:highlight w:val="none"/>
        </w:rPr>
        <w:t>第一章</w:t>
      </w:r>
      <w:r>
        <w:rPr>
          <w:rStyle w:val="33"/>
          <w:rFonts w:hint="eastAsia" w:asciiTheme="majorEastAsia" w:hAnsiTheme="majorEastAsia" w:eastAsiaTheme="majorEastAsia"/>
          <w:color w:val="auto"/>
          <w:highlight w:val="none"/>
        </w:rPr>
        <w:t xml:space="preserve"> </w:t>
      </w:r>
      <w:r>
        <w:rPr>
          <w:rStyle w:val="33"/>
          <w:rFonts w:asciiTheme="majorEastAsia" w:hAnsiTheme="majorEastAsia" w:eastAsiaTheme="major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_Toc72847671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9180"/>
        </w:tabs>
        <w:rPr>
          <w:rFonts w:asciiTheme="minorHAnsi" w:hAnsiTheme="minorHAnsi" w:eastAsiaTheme="minorEastAsia" w:cstheme="minorBidi"/>
          <w:color w:val="auto"/>
          <w:kern w:val="2"/>
          <w:szCs w:val="22"/>
          <w:highlight w:val="none"/>
          <w:lang w:val="en-US" w:bidi="ar-SA"/>
        </w:rPr>
      </w:pPr>
      <w:r>
        <w:rPr>
          <w:color w:val="auto"/>
          <w:highlight w:val="none"/>
        </w:rPr>
        <w:fldChar w:fldCharType="begin"/>
      </w:r>
      <w:r>
        <w:rPr>
          <w:color w:val="auto"/>
          <w:highlight w:val="none"/>
        </w:rPr>
        <w:instrText xml:space="preserve"> HYPERLINK \l "_Toc72847672" </w:instrText>
      </w:r>
      <w:r>
        <w:rPr>
          <w:color w:val="auto"/>
          <w:highlight w:val="none"/>
        </w:rPr>
        <w:fldChar w:fldCharType="separate"/>
      </w:r>
      <w:r>
        <w:rPr>
          <w:rStyle w:val="33"/>
          <w:rFonts w:asciiTheme="majorEastAsia" w:hAnsiTheme="majorEastAsia" w:eastAsiaTheme="majorEastAsia"/>
          <w:color w:val="auto"/>
          <w:highlight w:val="none"/>
        </w:rPr>
        <w:t>第二章</w:t>
      </w:r>
      <w:r>
        <w:rPr>
          <w:rStyle w:val="33"/>
          <w:rFonts w:hint="eastAsia" w:asciiTheme="majorEastAsia" w:hAnsiTheme="majorEastAsia" w:eastAsiaTheme="majorEastAsia"/>
          <w:color w:val="auto"/>
          <w:highlight w:val="none"/>
        </w:rPr>
        <w:t xml:space="preserve"> </w:t>
      </w:r>
      <w:r>
        <w:rPr>
          <w:rStyle w:val="33"/>
          <w:rFonts w:asciiTheme="majorEastAsia" w:hAnsiTheme="majorEastAsia" w:eastAsiaTheme="major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_Toc72847672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right" w:leader="dot" w:pos="9180"/>
        </w:tabs>
        <w:rPr>
          <w:rFonts w:asciiTheme="minorHAnsi" w:hAnsiTheme="minorHAnsi" w:eastAsiaTheme="minorEastAsia" w:cstheme="minorBidi"/>
          <w:color w:val="auto"/>
          <w:kern w:val="2"/>
          <w:szCs w:val="22"/>
          <w:highlight w:val="none"/>
          <w:lang w:val="en-US" w:bidi="ar-SA"/>
        </w:rPr>
      </w:pPr>
      <w:r>
        <w:rPr>
          <w:color w:val="auto"/>
          <w:highlight w:val="none"/>
        </w:rPr>
        <w:fldChar w:fldCharType="begin"/>
      </w:r>
      <w:r>
        <w:rPr>
          <w:color w:val="auto"/>
          <w:highlight w:val="none"/>
        </w:rPr>
        <w:instrText xml:space="preserve"> HYPERLINK \l "_Toc72847673" </w:instrText>
      </w:r>
      <w:r>
        <w:rPr>
          <w:color w:val="auto"/>
          <w:highlight w:val="none"/>
        </w:rPr>
        <w:fldChar w:fldCharType="separate"/>
      </w:r>
      <w:r>
        <w:rPr>
          <w:rStyle w:val="33"/>
          <w:rFonts w:asciiTheme="majorEastAsia" w:hAnsiTheme="majorEastAsia" w:eastAsiaTheme="majorEastAsia"/>
          <w:color w:val="auto"/>
          <w:highlight w:val="none"/>
        </w:rPr>
        <w:t>第三章</w:t>
      </w:r>
      <w:r>
        <w:rPr>
          <w:rStyle w:val="33"/>
          <w:rFonts w:hint="eastAsia" w:asciiTheme="majorEastAsia" w:hAnsiTheme="majorEastAsia" w:eastAsiaTheme="majorEastAsia"/>
          <w:color w:val="auto"/>
          <w:highlight w:val="none"/>
        </w:rPr>
        <w:t xml:space="preserve"> </w:t>
      </w:r>
      <w:r>
        <w:rPr>
          <w:rStyle w:val="33"/>
          <w:rFonts w:asciiTheme="majorEastAsia" w:hAnsiTheme="majorEastAsia" w:eastAsiaTheme="major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_Toc72847673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9"/>
        <w:tabs>
          <w:tab w:val="right" w:leader="dot" w:pos="9180"/>
        </w:tabs>
        <w:rPr>
          <w:rFonts w:asciiTheme="minorHAnsi" w:hAnsiTheme="minorHAnsi" w:eastAsiaTheme="minorEastAsia" w:cstheme="minorBidi"/>
          <w:color w:val="auto"/>
          <w:kern w:val="2"/>
          <w:szCs w:val="22"/>
          <w:highlight w:val="none"/>
          <w:lang w:val="en-US" w:bidi="ar-SA"/>
        </w:rPr>
      </w:pPr>
      <w:r>
        <w:rPr>
          <w:color w:val="auto"/>
          <w:highlight w:val="none"/>
        </w:rPr>
        <w:fldChar w:fldCharType="begin"/>
      </w:r>
      <w:r>
        <w:rPr>
          <w:color w:val="auto"/>
          <w:highlight w:val="none"/>
        </w:rPr>
        <w:instrText xml:space="preserve"> HYPERLINK \l "_Toc72847674" </w:instrText>
      </w:r>
      <w:r>
        <w:rPr>
          <w:color w:val="auto"/>
          <w:highlight w:val="none"/>
        </w:rPr>
        <w:fldChar w:fldCharType="separate"/>
      </w:r>
      <w:r>
        <w:rPr>
          <w:rStyle w:val="33"/>
          <w:rFonts w:asciiTheme="majorEastAsia" w:hAnsiTheme="majorEastAsia" w:eastAsiaTheme="majorEastAsia"/>
          <w:color w:val="auto"/>
          <w:highlight w:val="none"/>
          <w:lang w:val="en-US"/>
        </w:rPr>
        <w:t>第四章 合同</w:t>
      </w:r>
      <w:r>
        <w:rPr>
          <w:color w:val="auto"/>
          <w:highlight w:val="none"/>
        </w:rPr>
        <w:tab/>
      </w:r>
      <w:r>
        <w:rPr>
          <w:color w:val="auto"/>
          <w:highlight w:val="none"/>
        </w:rPr>
        <w:fldChar w:fldCharType="begin"/>
      </w:r>
      <w:r>
        <w:rPr>
          <w:color w:val="auto"/>
          <w:highlight w:val="none"/>
        </w:rPr>
        <w:instrText xml:space="preserve"> PAGEREF _Toc72847674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180"/>
        </w:tabs>
        <w:rPr>
          <w:rFonts w:asciiTheme="minorHAnsi" w:hAnsiTheme="minorHAnsi" w:eastAsiaTheme="minorEastAsia" w:cstheme="minorBidi"/>
          <w:color w:val="auto"/>
          <w:kern w:val="2"/>
          <w:szCs w:val="22"/>
          <w:highlight w:val="none"/>
          <w:lang w:val="en-US" w:bidi="ar-SA"/>
        </w:rPr>
      </w:pPr>
      <w:r>
        <w:rPr>
          <w:color w:val="auto"/>
          <w:highlight w:val="none"/>
        </w:rPr>
        <w:fldChar w:fldCharType="begin"/>
      </w:r>
      <w:r>
        <w:rPr>
          <w:color w:val="auto"/>
          <w:highlight w:val="none"/>
        </w:rPr>
        <w:instrText xml:space="preserve"> HYPERLINK \l "_Toc72847716" </w:instrText>
      </w:r>
      <w:r>
        <w:rPr>
          <w:color w:val="auto"/>
          <w:highlight w:val="none"/>
        </w:rPr>
        <w:fldChar w:fldCharType="separate"/>
      </w:r>
      <w:r>
        <w:rPr>
          <w:rStyle w:val="33"/>
          <w:rFonts w:asciiTheme="majorEastAsia" w:hAnsiTheme="majorEastAsia" w:eastAsiaTheme="majorEastAsia"/>
          <w:color w:val="auto"/>
          <w:highlight w:val="none"/>
        </w:rPr>
        <w:t>第五章</w:t>
      </w:r>
      <w:r>
        <w:rPr>
          <w:rStyle w:val="33"/>
          <w:rFonts w:hint="eastAsia" w:asciiTheme="majorEastAsia" w:hAnsiTheme="majorEastAsia" w:eastAsiaTheme="majorEastAsia"/>
          <w:color w:val="auto"/>
          <w:highlight w:val="none"/>
        </w:rPr>
        <w:t xml:space="preserve"> </w:t>
      </w:r>
      <w:r>
        <w:rPr>
          <w:rStyle w:val="33"/>
          <w:rFonts w:asciiTheme="majorEastAsia" w:hAnsiTheme="majorEastAsia" w:eastAsiaTheme="majorEastAsia"/>
          <w:color w:val="auto"/>
          <w:highlight w:val="none"/>
        </w:rPr>
        <w:t>发包人要求</w:t>
      </w:r>
      <w:r>
        <w:rPr>
          <w:color w:val="auto"/>
          <w:highlight w:val="none"/>
        </w:rPr>
        <w:tab/>
      </w:r>
      <w:r>
        <w:rPr>
          <w:color w:val="auto"/>
          <w:highlight w:val="none"/>
        </w:rPr>
        <w:fldChar w:fldCharType="begin"/>
      </w:r>
      <w:r>
        <w:rPr>
          <w:color w:val="auto"/>
          <w:highlight w:val="none"/>
        </w:rPr>
        <w:instrText xml:space="preserve"> PAGEREF _Toc72847716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9"/>
        <w:tabs>
          <w:tab w:val="right" w:leader="dot" w:pos="9180"/>
        </w:tabs>
        <w:rPr>
          <w:rFonts w:asciiTheme="minorHAnsi" w:hAnsiTheme="minorHAnsi" w:eastAsiaTheme="minorEastAsia" w:cstheme="minorBidi"/>
          <w:color w:val="auto"/>
          <w:kern w:val="2"/>
          <w:szCs w:val="22"/>
          <w:highlight w:val="none"/>
          <w:lang w:val="en-US" w:bidi="ar-SA"/>
        </w:rPr>
      </w:pPr>
      <w:r>
        <w:rPr>
          <w:color w:val="auto"/>
          <w:highlight w:val="none"/>
        </w:rPr>
        <w:fldChar w:fldCharType="begin"/>
      </w:r>
      <w:r>
        <w:rPr>
          <w:color w:val="auto"/>
          <w:highlight w:val="none"/>
        </w:rPr>
        <w:instrText xml:space="preserve"> HYPERLINK \l "_Toc72847717" </w:instrText>
      </w:r>
      <w:r>
        <w:rPr>
          <w:color w:val="auto"/>
          <w:highlight w:val="none"/>
        </w:rPr>
        <w:fldChar w:fldCharType="separate"/>
      </w:r>
      <w:r>
        <w:rPr>
          <w:rStyle w:val="33"/>
          <w:rFonts w:asciiTheme="majorEastAsia" w:hAnsiTheme="majorEastAsia" w:eastAsiaTheme="majorEastAsia"/>
          <w:color w:val="auto"/>
          <w:highlight w:val="none"/>
        </w:rPr>
        <w:t>第六章</w:t>
      </w:r>
      <w:r>
        <w:rPr>
          <w:rStyle w:val="33"/>
          <w:rFonts w:asciiTheme="majorEastAsia" w:hAnsiTheme="majorEastAsia" w:eastAsiaTheme="majorEastAsia"/>
          <w:color w:val="auto"/>
          <w:highlight w:val="none"/>
          <w:lang w:val="en-US"/>
        </w:rPr>
        <w:t xml:space="preserve"> </w:t>
      </w:r>
      <w:r>
        <w:rPr>
          <w:rStyle w:val="33"/>
          <w:rFonts w:asciiTheme="majorEastAsia" w:hAnsiTheme="majorEastAsia" w:eastAsiaTheme="major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_Toc72847717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spacing w:line="360" w:lineRule="auto"/>
        <w:rPr>
          <w:color w:val="auto"/>
          <w:sz w:val="24"/>
          <w:szCs w:val="24"/>
          <w:highlight w:val="none"/>
        </w:rPr>
        <w:sectPr>
          <w:pgSz w:w="11850" w:h="16783"/>
          <w:pgMar w:top="1380" w:right="1100" w:bottom="1464" w:left="1560" w:header="720" w:footer="720" w:gutter="0"/>
          <w:cols w:space="720" w:num="1"/>
        </w:sectPr>
      </w:pPr>
      <w:r>
        <w:rPr>
          <w:color w:val="auto"/>
          <w:highlight w:val="none"/>
        </w:rPr>
        <w:fldChar w:fldCharType="end"/>
      </w:r>
    </w:p>
    <w:p>
      <w:pPr>
        <w:pStyle w:val="2"/>
        <w:rPr>
          <w:rFonts w:ascii="Calibri"/>
          <w:color w:val="auto"/>
          <w:sz w:val="44"/>
          <w:highlight w:val="none"/>
        </w:rPr>
      </w:pPr>
    </w:p>
    <w:p>
      <w:pPr>
        <w:pStyle w:val="3"/>
        <w:spacing w:line="675" w:lineRule="exact"/>
        <w:rPr>
          <w:rFonts w:asciiTheme="majorEastAsia" w:hAnsiTheme="majorEastAsia" w:eastAsiaTheme="majorEastAsia"/>
          <w:color w:val="auto"/>
          <w:highlight w:val="none"/>
        </w:rPr>
      </w:pPr>
      <w:bookmarkStart w:id="0" w:name="_Toc16804"/>
      <w:bookmarkStart w:id="1" w:name="_Toc72847671"/>
      <w:r>
        <w:rPr>
          <w:rFonts w:asciiTheme="majorEastAsia" w:hAnsiTheme="majorEastAsia" w:eastAsiaTheme="majorEastAsia"/>
          <w:color w:val="auto"/>
          <w:highlight w:val="none"/>
        </w:rPr>
        <w:t>第一章招标公告</w:t>
      </w:r>
      <w:bookmarkEnd w:id="0"/>
      <w:bookmarkEnd w:id="1"/>
    </w:p>
    <w:p>
      <w:pPr>
        <w:tabs>
          <w:tab w:val="left" w:pos="1118"/>
        </w:tabs>
        <w:spacing w:before="307"/>
        <w:ind w:right="453"/>
        <w:jc w:val="center"/>
        <w:rPr>
          <w:color w:val="auto"/>
          <w:spacing w:val="-1"/>
          <w:sz w:val="28"/>
          <w:highlight w:val="none"/>
          <w:lang w:val="en-US"/>
        </w:rPr>
      </w:pPr>
      <w:r>
        <w:rPr>
          <w:rFonts w:hint="eastAsia"/>
          <w:color w:val="auto"/>
          <w:spacing w:val="-1"/>
          <w:sz w:val="28"/>
          <w:highlight w:val="none"/>
          <w:lang w:val="en-US"/>
        </w:rPr>
        <w:t>四川都金山地轨道交通有限责任公司</w:t>
      </w:r>
      <w:r>
        <w:rPr>
          <w:rFonts w:hint="eastAsia"/>
          <w:color w:val="auto"/>
          <w:spacing w:val="-1"/>
          <w:sz w:val="28"/>
          <w:highlight w:val="none"/>
          <w:lang w:val="en-US" w:eastAsia="zh-CN"/>
        </w:rPr>
        <w:t>物业</w:t>
      </w:r>
      <w:r>
        <w:rPr>
          <w:rFonts w:hint="eastAsia"/>
          <w:color w:val="auto"/>
          <w:spacing w:val="-1"/>
          <w:sz w:val="28"/>
          <w:highlight w:val="none"/>
          <w:lang w:val="en-US"/>
        </w:rPr>
        <w:t>服务项目</w:t>
      </w:r>
    </w:p>
    <w:p>
      <w:pPr>
        <w:tabs>
          <w:tab w:val="left" w:pos="1118"/>
        </w:tabs>
        <w:spacing w:before="307"/>
        <w:ind w:right="453"/>
        <w:jc w:val="center"/>
        <w:rPr>
          <w:color w:val="auto"/>
          <w:spacing w:val="-1"/>
          <w:sz w:val="28"/>
          <w:highlight w:val="none"/>
          <w:lang w:val="en-US"/>
        </w:rPr>
      </w:pPr>
      <w:r>
        <w:rPr>
          <w:color w:val="auto"/>
          <w:spacing w:val="-1"/>
          <w:sz w:val="28"/>
          <w:highlight w:val="none"/>
        </w:rPr>
        <w:t>招标公告</w:t>
      </w:r>
    </w:p>
    <w:p>
      <w:pPr>
        <w:pStyle w:val="2"/>
        <w:rPr>
          <w:color w:val="auto"/>
          <w:sz w:val="20"/>
          <w:highlight w:val="none"/>
        </w:rPr>
      </w:pPr>
    </w:p>
    <w:p>
      <w:pPr>
        <w:pStyle w:val="2"/>
        <w:rPr>
          <w:color w:val="auto"/>
          <w:sz w:val="20"/>
          <w:highlight w:val="none"/>
        </w:rPr>
      </w:pPr>
    </w:p>
    <w:p>
      <w:pPr>
        <w:pStyle w:val="38"/>
        <w:numPr>
          <w:ilvl w:val="0"/>
          <w:numId w:val="1"/>
        </w:numPr>
        <w:tabs>
          <w:tab w:val="left" w:pos="642"/>
        </w:tabs>
        <w:spacing w:before="92"/>
        <w:ind w:hanging="402"/>
        <w:rPr>
          <w:b/>
          <w:color w:val="auto"/>
          <w:sz w:val="21"/>
          <w:szCs w:val="21"/>
          <w:highlight w:val="none"/>
        </w:rPr>
      </w:pPr>
      <w:bookmarkStart w:id="2" w:name="_bookmark2"/>
      <w:bookmarkEnd w:id="2"/>
      <w:bookmarkStart w:id="3" w:name="_Toc2783_WPSOffice_Level2"/>
      <w:r>
        <w:rPr>
          <w:rFonts w:hint="eastAsia"/>
          <w:b/>
          <w:color w:val="auto"/>
          <w:sz w:val="21"/>
          <w:szCs w:val="21"/>
          <w:highlight w:val="none"/>
        </w:rPr>
        <w:t>招标条件</w:t>
      </w:r>
      <w:bookmarkEnd w:id="3"/>
    </w:p>
    <w:p>
      <w:pPr>
        <w:pStyle w:val="2"/>
        <w:tabs>
          <w:tab w:val="left" w:pos="1483"/>
          <w:tab w:val="left" w:pos="2837"/>
          <w:tab w:val="left" w:pos="3404"/>
          <w:tab w:val="left" w:pos="5036"/>
          <w:tab w:val="left" w:pos="6145"/>
          <w:tab w:val="left" w:pos="7225"/>
          <w:tab w:val="left" w:pos="7638"/>
        </w:tabs>
        <w:spacing w:before="302" w:line="360" w:lineRule="auto"/>
        <w:ind w:left="238" w:right="692" w:firstLine="420"/>
        <w:jc w:val="both"/>
        <w:rPr>
          <w:color w:val="auto"/>
          <w:sz w:val="24"/>
          <w:szCs w:val="24"/>
          <w:highlight w:val="none"/>
        </w:rPr>
      </w:pPr>
      <w:bookmarkStart w:id="4" w:name="_bookmark3"/>
      <w:bookmarkEnd w:id="4"/>
      <w:bookmarkStart w:id="5" w:name="_Toc22612_WPSOffice_Level2"/>
      <w:r>
        <w:rPr>
          <w:rFonts w:hint="eastAsia"/>
          <w:color w:val="auto"/>
          <w:sz w:val="24"/>
          <w:szCs w:val="24"/>
          <w:highlight w:val="none"/>
        </w:rPr>
        <w:t>本招标项目</w:t>
      </w:r>
      <w:r>
        <w:rPr>
          <w:rFonts w:hint="eastAsia"/>
          <w:color w:val="auto"/>
          <w:sz w:val="24"/>
          <w:szCs w:val="24"/>
          <w:highlight w:val="none"/>
          <w:u w:val="single"/>
        </w:rPr>
        <w:t>四川都金山地轨道交通有限责任公司</w:t>
      </w:r>
      <w:r>
        <w:rPr>
          <w:rFonts w:hint="eastAsia"/>
          <w:color w:val="auto"/>
          <w:sz w:val="24"/>
          <w:szCs w:val="24"/>
          <w:highlight w:val="none"/>
          <w:u w:val="single"/>
          <w:lang w:val="en-US" w:eastAsia="zh-CN"/>
        </w:rPr>
        <w:t>物业</w:t>
      </w:r>
      <w:r>
        <w:rPr>
          <w:rFonts w:hint="eastAsia"/>
          <w:color w:val="auto"/>
          <w:sz w:val="24"/>
          <w:szCs w:val="24"/>
          <w:highlight w:val="none"/>
          <w:u w:val="single"/>
        </w:rPr>
        <w:t>服务项目</w:t>
      </w:r>
      <w:r>
        <w:rPr>
          <w:rFonts w:hint="eastAsia"/>
          <w:color w:val="auto"/>
          <w:sz w:val="24"/>
          <w:szCs w:val="24"/>
          <w:highlight w:val="none"/>
        </w:rPr>
        <w:t>（项目名称</w:t>
      </w:r>
      <w:r>
        <w:rPr>
          <w:rFonts w:hint="eastAsia"/>
          <w:color w:val="auto"/>
          <w:spacing w:val="-3"/>
          <w:sz w:val="24"/>
          <w:szCs w:val="24"/>
          <w:highlight w:val="none"/>
        </w:rPr>
        <w:t>）</w:t>
      </w:r>
      <w:r>
        <w:rPr>
          <w:rFonts w:hint="eastAsia"/>
          <w:color w:val="auto"/>
          <w:spacing w:val="-17"/>
          <w:sz w:val="24"/>
          <w:szCs w:val="24"/>
          <w:highlight w:val="none"/>
        </w:rPr>
        <w:t>，</w:t>
      </w:r>
      <w:r>
        <w:rPr>
          <w:rFonts w:hint="eastAsia"/>
          <w:color w:val="auto"/>
          <w:sz w:val="24"/>
          <w:szCs w:val="24"/>
          <w:highlight w:val="none"/>
        </w:rPr>
        <w:t>项</w:t>
      </w:r>
      <w:r>
        <w:rPr>
          <w:rFonts w:hint="eastAsia"/>
          <w:color w:val="auto"/>
          <w:spacing w:val="-3"/>
          <w:sz w:val="24"/>
          <w:szCs w:val="24"/>
          <w:highlight w:val="none"/>
        </w:rPr>
        <w:t>目</w:t>
      </w:r>
      <w:r>
        <w:rPr>
          <w:rFonts w:hint="eastAsia"/>
          <w:color w:val="auto"/>
          <w:sz w:val="24"/>
          <w:szCs w:val="24"/>
          <w:highlight w:val="none"/>
        </w:rPr>
        <w:t>业</w:t>
      </w:r>
      <w:r>
        <w:rPr>
          <w:rFonts w:hint="eastAsia"/>
          <w:color w:val="auto"/>
          <w:spacing w:val="-3"/>
          <w:sz w:val="24"/>
          <w:szCs w:val="24"/>
          <w:highlight w:val="none"/>
        </w:rPr>
        <w:t>主</w:t>
      </w:r>
      <w:r>
        <w:rPr>
          <w:rFonts w:hint="eastAsia"/>
          <w:color w:val="auto"/>
          <w:sz w:val="24"/>
          <w:szCs w:val="24"/>
          <w:highlight w:val="none"/>
        </w:rPr>
        <w:t>为</w:t>
      </w:r>
      <w:r>
        <w:rPr>
          <w:rFonts w:hint="eastAsia"/>
          <w:color w:val="auto"/>
          <w:sz w:val="24"/>
          <w:szCs w:val="24"/>
          <w:highlight w:val="none"/>
          <w:u w:val="single"/>
        </w:rPr>
        <w:t>四川都金山地轨道交通有限责任公司</w:t>
      </w:r>
      <w:r>
        <w:rPr>
          <w:rFonts w:hint="eastAsia"/>
          <w:color w:val="auto"/>
          <w:spacing w:val="-17"/>
          <w:sz w:val="24"/>
          <w:szCs w:val="24"/>
          <w:highlight w:val="none"/>
        </w:rPr>
        <w:t>，</w:t>
      </w:r>
      <w:r>
        <w:rPr>
          <w:rFonts w:hint="eastAsia"/>
          <w:color w:val="auto"/>
          <w:sz w:val="24"/>
          <w:szCs w:val="24"/>
          <w:highlight w:val="none"/>
        </w:rPr>
        <w:t>建</w:t>
      </w:r>
      <w:r>
        <w:rPr>
          <w:rFonts w:hint="eastAsia"/>
          <w:color w:val="auto"/>
          <w:spacing w:val="-3"/>
          <w:sz w:val="24"/>
          <w:szCs w:val="24"/>
          <w:highlight w:val="none"/>
        </w:rPr>
        <w:t>设</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pacing w:val="-14"/>
          <w:sz w:val="24"/>
          <w:szCs w:val="24"/>
          <w:highlight w:val="none"/>
        </w:rPr>
        <w:t>来</w:t>
      </w:r>
      <w:r>
        <w:rPr>
          <w:rFonts w:hint="eastAsia"/>
          <w:color w:val="auto"/>
          <w:spacing w:val="-1"/>
          <w:sz w:val="24"/>
          <w:szCs w:val="24"/>
          <w:highlight w:val="none"/>
        </w:rPr>
        <w:t>自</w:t>
      </w:r>
      <w:r>
        <w:rPr>
          <w:rFonts w:hint="eastAsia"/>
          <w:color w:val="auto"/>
          <w:sz w:val="24"/>
          <w:szCs w:val="24"/>
          <w:highlight w:val="none"/>
          <w:u w:val="single"/>
        </w:rPr>
        <w:t xml:space="preserve"> </w:t>
      </w:r>
      <w:r>
        <w:rPr>
          <w:rFonts w:hint="eastAsia"/>
          <w:color w:val="auto"/>
          <w:sz w:val="24"/>
          <w:szCs w:val="24"/>
          <w:highlight w:val="none"/>
          <w:u w:val="single"/>
          <w:lang w:val="en-US"/>
        </w:rPr>
        <w:t>业主自筹</w:t>
      </w:r>
      <w:r>
        <w:rPr>
          <w:rFonts w:hint="eastAsia"/>
          <w:color w:val="auto"/>
          <w:spacing w:val="-3"/>
          <w:sz w:val="24"/>
          <w:szCs w:val="24"/>
          <w:highlight w:val="none"/>
        </w:rPr>
        <w:t>（</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z w:val="24"/>
          <w:szCs w:val="24"/>
          <w:highlight w:val="none"/>
        </w:rPr>
        <w:t>来源</w:t>
      </w:r>
      <w:r>
        <w:rPr>
          <w:rFonts w:hint="eastAsia"/>
          <w:color w:val="auto"/>
          <w:spacing w:val="-108"/>
          <w:sz w:val="24"/>
          <w:szCs w:val="24"/>
          <w:highlight w:val="none"/>
        </w:rPr>
        <w:t>）</w:t>
      </w:r>
      <w:r>
        <w:rPr>
          <w:rFonts w:hint="eastAsia"/>
          <w:color w:val="auto"/>
          <w:spacing w:val="-20"/>
          <w:sz w:val="24"/>
          <w:szCs w:val="24"/>
          <w:highlight w:val="none"/>
        </w:rPr>
        <w:t>，</w:t>
      </w:r>
      <w:r>
        <w:rPr>
          <w:rFonts w:hint="eastAsia"/>
          <w:color w:val="auto"/>
          <w:sz w:val="24"/>
          <w:szCs w:val="24"/>
          <w:highlight w:val="none"/>
        </w:rPr>
        <w:t>出</w:t>
      </w:r>
      <w:r>
        <w:rPr>
          <w:rFonts w:hint="eastAsia"/>
          <w:color w:val="auto"/>
          <w:spacing w:val="-3"/>
          <w:sz w:val="24"/>
          <w:szCs w:val="24"/>
          <w:highlight w:val="none"/>
        </w:rPr>
        <w:t>资</w:t>
      </w:r>
      <w:r>
        <w:rPr>
          <w:rFonts w:hint="eastAsia"/>
          <w:color w:val="auto"/>
          <w:sz w:val="24"/>
          <w:szCs w:val="24"/>
          <w:highlight w:val="none"/>
        </w:rPr>
        <w:t>比</w:t>
      </w:r>
      <w:r>
        <w:rPr>
          <w:rFonts w:hint="eastAsia"/>
          <w:color w:val="auto"/>
          <w:spacing w:val="-3"/>
          <w:sz w:val="24"/>
          <w:szCs w:val="24"/>
          <w:highlight w:val="none"/>
        </w:rPr>
        <w:t>例</w:t>
      </w:r>
      <w:r>
        <w:rPr>
          <w:rFonts w:hint="eastAsia"/>
          <w:color w:val="auto"/>
          <w:sz w:val="24"/>
          <w:szCs w:val="24"/>
          <w:highlight w:val="none"/>
        </w:rPr>
        <w:t>为</w:t>
      </w:r>
      <w:r>
        <w:rPr>
          <w:rFonts w:hint="eastAsia"/>
          <w:color w:val="auto"/>
          <w:sz w:val="24"/>
          <w:szCs w:val="24"/>
          <w:highlight w:val="none"/>
          <w:u w:val="single"/>
          <w:lang w:val="en-US"/>
        </w:rPr>
        <w:t>100%</w:t>
      </w:r>
      <w:r>
        <w:rPr>
          <w:rFonts w:hint="eastAsia"/>
          <w:color w:val="auto"/>
          <w:spacing w:val="-20"/>
          <w:sz w:val="24"/>
          <w:szCs w:val="24"/>
          <w:highlight w:val="none"/>
        </w:rPr>
        <w:t>，</w:t>
      </w:r>
      <w:r>
        <w:rPr>
          <w:rFonts w:hint="eastAsia"/>
          <w:color w:val="auto"/>
          <w:sz w:val="24"/>
          <w:szCs w:val="24"/>
          <w:highlight w:val="none"/>
        </w:rPr>
        <w:t>招</w:t>
      </w:r>
      <w:r>
        <w:rPr>
          <w:rFonts w:hint="eastAsia"/>
          <w:color w:val="auto"/>
          <w:spacing w:val="-3"/>
          <w:sz w:val="24"/>
          <w:szCs w:val="24"/>
          <w:highlight w:val="none"/>
        </w:rPr>
        <w:t>标</w:t>
      </w:r>
      <w:r>
        <w:rPr>
          <w:rFonts w:hint="eastAsia"/>
          <w:color w:val="auto"/>
          <w:sz w:val="24"/>
          <w:szCs w:val="24"/>
          <w:highlight w:val="none"/>
        </w:rPr>
        <w:t>人</w:t>
      </w:r>
      <w:r>
        <w:rPr>
          <w:rFonts w:hint="eastAsia"/>
          <w:color w:val="auto"/>
          <w:spacing w:val="-3"/>
          <w:sz w:val="24"/>
          <w:szCs w:val="24"/>
          <w:highlight w:val="none"/>
        </w:rPr>
        <w:t>为</w:t>
      </w:r>
      <w:r>
        <w:rPr>
          <w:rFonts w:hint="eastAsia"/>
          <w:color w:val="auto"/>
          <w:sz w:val="24"/>
          <w:szCs w:val="24"/>
          <w:highlight w:val="none"/>
          <w:u w:val="single"/>
        </w:rPr>
        <w:t>四川都金山地轨道交通有限责任公司</w:t>
      </w:r>
      <w:r>
        <w:rPr>
          <w:rFonts w:hint="eastAsia"/>
          <w:color w:val="auto"/>
          <w:sz w:val="24"/>
          <w:szCs w:val="24"/>
          <w:highlight w:val="none"/>
        </w:rPr>
        <w:t>，招标代理机构为</w:t>
      </w:r>
      <w:r>
        <w:rPr>
          <w:rFonts w:hint="eastAsia"/>
          <w:color w:val="auto"/>
          <w:sz w:val="24"/>
          <w:szCs w:val="24"/>
          <w:highlight w:val="none"/>
          <w:u w:val="single"/>
          <w:lang w:val="en-US"/>
        </w:rPr>
        <w:t>中通建设工程管理有限公司</w:t>
      </w:r>
      <w:r>
        <w:rPr>
          <w:rFonts w:hint="eastAsia"/>
          <w:color w:val="auto"/>
          <w:sz w:val="24"/>
          <w:szCs w:val="24"/>
          <w:highlight w:val="none"/>
        </w:rPr>
        <w:t>。项目</w:t>
      </w:r>
      <w:r>
        <w:rPr>
          <w:rFonts w:hint="eastAsia"/>
          <w:color w:val="auto"/>
          <w:spacing w:val="-3"/>
          <w:sz w:val="24"/>
          <w:szCs w:val="24"/>
          <w:highlight w:val="none"/>
        </w:rPr>
        <w:t>已</w:t>
      </w:r>
      <w:r>
        <w:rPr>
          <w:rFonts w:hint="eastAsia"/>
          <w:color w:val="auto"/>
          <w:sz w:val="24"/>
          <w:szCs w:val="24"/>
          <w:highlight w:val="none"/>
        </w:rPr>
        <w:t>具</w:t>
      </w:r>
      <w:r>
        <w:rPr>
          <w:rFonts w:hint="eastAsia"/>
          <w:color w:val="auto"/>
          <w:spacing w:val="-3"/>
          <w:sz w:val="24"/>
          <w:szCs w:val="24"/>
          <w:highlight w:val="none"/>
        </w:rPr>
        <w:t>备招</w:t>
      </w:r>
      <w:r>
        <w:rPr>
          <w:rFonts w:hint="eastAsia"/>
          <w:color w:val="auto"/>
          <w:spacing w:val="-15"/>
          <w:sz w:val="24"/>
          <w:szCs w:val="24"/>
          <w:highlight w:val="none"/>
        </w:rPr>
        <w:t>标</w:t>
      </w:r>
      <w:r>
        <w:rPr>
          <w:rFonts w:hint="eastAsia"/>
          <w:color w:val="auto"/>
          <w:sz w:val="24"/>
          <w:szCs w:val="24"/>
          <w:highlight w:val="none"/>
        </w:rPr>
        <w:t>条件</w:t>
      </w:r>
      <w:r>
        <w:rPr>
          <w:rFonts w:hint="eastAsia"/>
          <w:color w:val="auto"/>
          <w:spacing w:val="-3"/>
          <w:sz w:val="24"/>
          <w:szCs w:val="24"/>
          <w:highlight w:val="none"/>
        </w:rPr>
        <w:t>，</w:t>
      </w:r>
      <w:r>
        <w:rPr>
          <w:rFonts w:hint="eastAsia"/>
          <w:color w:val="auto"/>
          <w:sz w:val="24"/>
          <w:szCs w:val="24"/>
          <w:highlight w:val="none"/>
        </w:rPr>
        <w:t>现</w:t>
      </w:r>
      <w:r>
        <w:rPr>
          <w:rFonts w:hint="eastAsia"/>
          <w:color w:val="auto"/>
          <w:spacing w:val="-3"/>
          <w:sz w:val="24"/>
          <w:szCs w:val="24"/>
          <w:highlight w:val="none"/>
        </w:rPr>
        <w:t>对</w:t>
      </w:r>
      <w:r>
        <w:rPr>
          <w:rFonts w:hint="eastAsia"/>
          <w:color w:val="auto"/>
          <w:sz w:val="24"/>
          <w:szCs w:val="24"/>
          <w:highlight w:val="none"/>
        </w:rPr>
        <w:t>该</w:t>
      </w:r>
      <w:r>
        <w:rPr>
          <w:rFonts w:hint="eastAsia"/>
          <w:color w:val="auto"/>
          <w:spacing w:val="-3"/>
          <w:sz w:val="24"/>
          <w:szCs w:val="24"/>
          <w:highlight w:val="none"/>
        </w:rPr>
        <w:t>项</w:t>
      </w:r>
      <w:r>
        <w:rPr>
          <w:rFonts w:hint="eastAsia"/>
          <w:color w:val="auto"/>
          <w:sz w:val="24"/>
          <w:szCs w:val="24"/>
          <w:highlight w:val="none"/>
        </w:rPr>
        <w:t>目进行</w:t>
      </w:r>
      <w:r>
        <w:rPr>
          <w:rFonts w:hint="eastAsia"/>
          <w:color w:val="auto"/>
          <w:spacing w:val="-3"/>
          <w:sz w:val="24"/>
          <w:szCs w:val="24"/>
          <w:highlight w:val="none"/>
        </w:rPr>
        <w:t>公</w:t>
      </w:r>
      <w:r>
        <w:rPr>
          <w:rFonts w:hint="eastAsia"/>
          <w:color w:val="auto"/>
          <w:sz w:val="24"/>
          <w:szCs w:val="24"/>
          <w:highlight w:val="none"/>
        </w:rPr>
        <w:t>开</w:t>
      </w:r>
      <w:r>
        <w:rPr>
          <w:rFonts w:hint="eastAsia"/>
          <w:color w:val="auto"/>
          <w:spacing w:val="-3"/>
          <w:sz w:val="24"/>
          <w:szCs w:val="24"/>
          <w:highlight w:val="none"/>
        </w:rPr>
        <w:t>招</w:t>
      </w:r>
      <w:r>
        <w:rPr>
          <w:rFonts w:hint="eastAsia"/>
          <w:color w:val="auto"/>
          <w:sz w:val="24"/>
          <w:szCs w:val="24"/>
          <w:highlight w:val="none"/>
        </w:rPr>
        <w:t>标。</w:t>
      </w:r>
    </w:p>
    <w:p>
      <w:pPr>
        <w:pStyle w:val="38"/>
        <w:numPr>
          <w:ilvl w:val="0"/>
          <w:numId w:val="1"/>
        </w:numPr>
        <w:tabs>
          <w:tab w:val="left" w:pos="642"/>
        </w:tabs>
        <w:spacing w:before="41"/>
        <w:ind w:hanging="402"/>
        <w:rPr>
          <w:b/>
          <w:color w:val="auto"/>
          <w:sz w:val="24"/>
          <w:szCs w:val="24"/>
          <w:highlight w:val="none"/>
        </w:rPr>
      </w:pPr>
      <w:r>
        <w:rPr>
          <w:rFonts w:hint="eastAsia"/>
          <w:b/>
          <w:color w:val="auto"/>
          <w:sz w:val="24"/>
          <w:szCs w:val="24"/>
          <w:highlight w:val="none"/>
        </w:rPr>
        <w:t>项目概况与招标范围</w:t>
      </w:r>
      <w:bookmarkEnd w:id="5"/>
    </w:p>
    <w:p>
      <w:pPr>
        <w:pStyle w:val="2"/>
        <w:tabs>
          <w:tab w:val="left" w:pos="3706"/>
        </w:tabs>
        <w:spacing w:before="301" w:line="360" w:lineRule="auto"/>
        <w:ind w:left="240" w:right="588" w:firstLine="419"/>
        <w:rPr>
          <w:color w:val="auto"/>
          <w:sz w:val="24"/>
          <w:szCs w:val="24"/>
          <w:highlight w:val="none"/>
          <w:lang w:val="en-US"/>
        </w:rPr>
      </w:pPr>
      <w:r>
        <w:rPr>
          <w:rFonts w:hint="eastAsia"/>
          <w:color w:val="auto"/>
          <w:sz w:val="24"/>
          <w:szCs w:val="24"/>
          <w:highlight w:val="none"/>
          <w:lang w:val="en-US"/>
        </w:rPr>
        <w:t>2.1 项目地点：项目位于都江堰市观景路</w:t>
      </w:r>
      <w:r>
        <w:rPr>
          <w:color w:val="auto"/>
          <w:sz w:val="24"/>
          <w:szCs w:val="24"/>
          <w:highlight w:val="none"/>
          <w:lang w:val="en-US"/>
        </w:rPr>
        <w:t>833号</w:t>
      </w:r>
      <w:r>
        <w:rPr>
          <w:rFonts w:hint="eastAsia"/>
          <w:color w:val="auto"/>
          <w:sz w:val="24"/>
          <w:szCs w:val="24"/>
          <w:highlight w:val="none"/>
          <w:lang w:val="en-US"/>
        </w:rPr>
        <w:t>。</w:t>
      </w:r>
    </w:p>
    <w:p>
      <w:pPr>
        <w:pStyle w:val="2"/>
        <w:tabs>
          <w:tab w:val="left" w:pos="3706"/>
        </w:tabs>
        <w:spacing w:before="301" w:line="360" w:lineRule="auto"/>
        <w:ind w:left="240" w:right="588" w:firstLine="419"/>
        <w:rPr>
          <w:color w:val="auto"/>
          <w:sz w:val="24"/>
          <w:szCs w:val="24"/>
          <w:highlight w:val="none"/>
          <w:lang w:val="en-US"/>
        </w:rPr>
      </w:pPr>
      <w:r>
        <w:rPr>
          <w:rFonts w:hint="eastAsia"/>
          <w:color w:val="auto"/>
          <w:sz w:val="24"/>
          <w:szCs w:val="24"/>
          <w:highlight w:val="none"/>
          <w:lang w:val="en-US"/>
        </w:rPr>
        <w:t>2.2 项目规模：</w:t>
      </w:r>
      <w:r>
        <w:rPr>
          <w:color w:val="auto"/>
          <w:sz w:val="24"/>
          <w:szCs w:val="24"/>
          <w:highlight w:val="none"/>
          <w:lang w:val="en-US"/>
        </w:rPr>
        <w:t>总建筑面积为6000㎡，其中地上共6层，地下1层，有地下停车位24个，按功能1-4层为办公区、厨房、食堂就餐区，5-6层员工宿舍休息区</w:t>
      </w:r>
      <w:r>
        <w:rPr>
          <w:rFonts w:hint="eastAsia"/>
          <w:color w:val="auto"/>
          <w:sz w:val="24"/>
          <w:szCs w:val="24"/>
          <w:highlight w:val="none"/>
          <w:lang w:val="en-US"/>
        </w:rPr>
        <w:t>，7辆车辆。</w:t>
      </w:r>
    </w:p>
    <w:p>
      <w:pPr>
        <w:spacing w:line="360" w:lineRule="auto"/>
        <w:ind w:left="220" w:leftChars="100" w:right="440" w:rightChars="200" w:firstLine="480" w:firstLineChars="200"/>
        <w:rPr>
          <w:color w:val="auto"/>
          <w:sz w:val="24"/>
          <w:szCs w:val="24"/>
          <w:highlight w:val="none"/>
          <w:lang w:val="en-US"/>
        </w:rPr>
      </w:pPr>
      <w:r>
        <w:rPr>
          <w:rFonts w:hint="eastAsia"/>
          <w:color w:val="auto"/>
          <w:sz w:val="24"/>
          <w:szCs w:val="24"/>
          <w:highlight w:val="none"/>
          <w:lang w:val="en-US"/>
        </w:rPr>
        <w:t>2.3 招标范围：四川都金山地轨道交通有限责任公司</w:t>
      </w:r>
      <w:r>
        <w:rPr>
          <w:rFonts w:hint="eastAsia"/>
          <w:color w:val="auto"/>
          <w:sz w:val="24"/>
          <w:szCs w:val="24"/>
          <w:highlight w:val="none"/>
          <w:lang w:val="en-US" w:eastAsia="zh-CN"/>
        </w:rPr>
        <w:t>物业</w:t>
      </w:r>
      <w:r>
        <w:rPr>
          <w:rFonts w:hint="eastAsia"/>
          <w:color w:val="auto"/>
          <w:sz w:val="24"/>
          <w:szCs w:val="24"/>
          <w:highlight w:val="none"/>
          <w:lang w:val="en-US"/>
        </w:rPr>
        <w:t>服务，包括：后勤管理、前台客服接待及会务服务、食堂服务、小车班驾驶服务</w:t>
      </w:r>
      <w:r>
        <w:rPr>
          <w:rFonts w:hint="eastAsia" w:cs="仿宋_GB2312"/>
          <w:color w:val="auto"/>
          <w:sz w:val="24"/>
          <w:highlight w:val="none"/>
          <w:lang w:val="en-US"/>
        </w:rPr>
        <w:t>。具体工作内容详见合同条款。</w:t>
      </w:r>
    </w:p>
    <w:p>
      <w:pPr>
        <w:spacing w:line="360" w:lineRule="auto"/>
        <w:ind w:left="220" w:leftChars="100" w:right="440" w:rightChars="200" w:firstLine="480" w:firstLineChars="200"/>
        <w:rPr>
          <w:color w:val="auto"/>
          <w:sz w:val="24"/>
          <w:szCs w:val="24"/>
          <w:highlight w:val="none"/>
        </w:rPr>
      </w:pPr>
      <w:r>
        <w:rPr>
          <w:rFonts w:hint="eastAsia"/>
          <w:color w:val="auto"/>
          <w:sz w:val="24"/>
          <w:szCs w:val="24"/>
          <w:highlight w:val="none"/>
          <w:lang w:val="en-US"/>
        </w:rPr>
        <w:t>2.4 服务期限：本次物业管理服务的合同有效期为合同签订之日起一年</w:t>
      </w:r>
      <w:r>
        <w:rPr>
          <w:color w:val="auto"/>
          <w:sz w:val="24"/>
          <w:szCs w:val="24"/>
          <w:highlight w:val="none"/>
          <w:lang w:val="en-US"/>
        </w:rPr>
        <w:t>。如遇上级政策调整，合同可随时终止</w:t>
      </w:r>
      <w:r>
        <w:rPr>
          <w:rFonts w:hint="eastAsia"/>
          <w:color w:val="auto"/>
          <w:sz w:val="24"/>
          <w:szCs w:val="24"/>
          <w:highlight w:val="none"/>
          <w:lang w:val="en-US"/>
        </w:rPr>
        <w:t>。</w:t>
      </w:r>
    </w:p>
    <w:p>
      <w:pPr>
        <w:pStyle w:val="2"/>
        <w:tabs>
          <w:tab w:val="left" w:pos="3706"/>
        </w:tabs>
        <w:spacing w:before="301"/>
        <w:ind w:left="240" w:right="588" w:firstLine="419"/>
        <w:rPr>
          <w:color w:val="auto"/>
          <w:sz w:val="24"/>
          <w:szCs w:val="24"/>
          <w:highlight w:val="none"/>
          <w:lang w:val="en-US"/>
        </w:rPr>
      </w:pPr>
      <w:r>
        <w:rPr>
          <w:rFonts w:hint="eastAsia"/>
          <w:color w:val="auto"/>
          <w:sz w:val="24"/>
          <w:szCs w:val="24"/>
          <w:highlight w:val="none"/>
          <w:lang w:val="en-US"/>
        </w:rPr>
        <w:t>2.5</w:t>
      </w:r>
      <w:r>
        <w:rPr>
          <w:color w:val="auto"/>
          <w:sz w:val="24"/>
          <w:szCs w:val="24"/>
          <w:highlight w:val="none"/>
          <w:lang w:val="en-US"/>
        </w:rPr>
        <w:t xml:space="preserve"> </w:t>
      </w:r>
      <w:r>
        <w:rPr>
          <w:rFonts w:hint="eastAsia"/>
          <w:color w:val="auto"/>
          <w:sz w:val="24"/>
          <w:szCs w:val="24"/>
          <w:highlight w:val="none"/>
          <w:lang w:val="en-US"/>
        </w:rPr>
        <w:t>标段划分/包号：1个标段。</w:t>
      </w:r>
    </w:p>
    <w:p>
      <w:pPr>
        <w:pStyle w:val="38"/>
        <w:numPr>
          <w:ilvl w:val="0"/>
          <w:numId w:val="1"/>
        </w:numPr>
        <w:tabs>
          <w:tab w:val="left" w:pos="642"/>
        </w:tabs>
        <w:spacing w:before="44"/>
        <w:ind w:hanging="402"/>
        <w:rPr>
          <w:b/>
          <w:color w:val="auto"/>
          <w:sz w:val="24"/>
          <w:szCs w:val="24"/>
          <w:highlight w:val="none"/>
        </w:rPr>
      </w:pPr>
      <w:bookmarkStart w:id="6" w:name="_bookmark4"/>
      <w:bookmarkEnd w:id="6"/>
      <w:bookmarkStart w:id="7" w:name="_Toc32754_WPSOffice_Level2"/>
      <w:r>
        <w:rPr>
          <w:rFonts w:hint="eastAsia"/>
          <w:b/>
          <w:color w:val="auto"/>
          <w:sz w:val="24"/>
          <w:szCs w:val="24"/>
          <w:highlight w:val="none"/>
        </w:rPr>
        <w:t>投标人资格要求</w:t>
      </w:r>
      <w:bookmarkEnd w:id="7"/>
    </w:p>
    <w:p>
      <w:pPr>
        <w:pStyle w:val="2"/>
        <w:tabs>
          <w:tab w:val="left" w:pos="3706"/>
        </w:tabs>
        <w:spacing w:before="301" w:line="360" w:lineRule="auto"/>
        <w:ind w:left="240" w:right="588" w:firstLine="419"/>
        <w:rPr>
          <w:color w:val="auto"/>
          <w:sz w:val="24"/>
          <w:szCs w:val="24"/>
          <w:highlight w:val="none"/>
          <w:lang w:val="en-US"/>
        </w:rPr>
      </w:pPr>
      <w:r>
        <w:rPr>
          <w:rFonts w:hint="eastAsia"/>
          <w:color w:val="auto"/>
          <w:sz w:val="24"/>
          <w:szCs w:val="24"/>
          <w:highlight w:val="none"/>
          <w:lang w:val="en-US"/>
        </w:rPr>
        <w:t>3.1</w:t>
      </w:r>
      <w:r>
        <w:rPr>
          <w:color w:val="auto"/>
          <w:sz w:val="24"/>
          <w:szCs w:val="24"/>
          <w:highlight w:val="none"/>
          <w:lang w:val="en-US"/>
        </w:rPr>
        <w:t xml:space="preserve"> </w:t>
      </w:r>
      <w:r>
        <w:rPr>
          <w:rFonts w:hint="eastAsia"/>
          <w:color w:val="auto"/>
          <w:sz w:val="24"/>
          <w:szCs w:val="24"/>
          <w:highlight w:val="none"/>
          <w:lang w:val="en-US"/>
        </w:rPr>
        <w:t>具有独立法人资格，提供有效的营业执照、基本账户开户许可证或基本存款账户信息。</w:t>
      </w:r>
    </w:p>
    <w:p>
      <w:pPr>
        <w:pStyle w:val="2"/>
        <w:tabs>
          <w:tab w:val="left" w:pos="3706"/>
        </w:tabs>
        <w:spacing w:before="301" w:line="360" w:lineRule="auto"/>
        <w:ind w:left="240" w:right="588" w:firstLine="419"/>
        <w:rPr>
          <w:color w:val="auto"/>
          <w:sz w:val="24"/>
          <w:szCs w:val="24"/>
          <w:highlight w:val="none"/>
          <w:lang w:val="en-US"/>
        </w:rPr>
      </w:pPr>
      <w:r>
        <w:rPr>
          <w:rFonts w:hint="eastAsia"/>
          <w:color w:val="auto"/>
          <w:sz w:val="24"/>
          <w:szCs w:val="24"/>
          <w:highlight w:val="none"/>
          <w:lang w:val="en-US"/>
        </w:rPr>
        <w:t>3.</w:t>
      </w:r>
      <w:r>
        <w:rPr>
          <w:color w:val="auto"/>
          <w:sz w:val="24"/>
          <w:szCs w:val="24"/>
          <w:highlight w:val="none"/>
          <w:lang w:val="en-US"/>
        </w:rPr>
        <w:t>2</w:t>
      </w:r>
      <w:r>
        <w:rPr>
          <w:rFonts w:hint="eastAsia"/>
          <w:color w:val="auto"/>
          <w:sz w:val="24"/>
          <w:szCs w:val="24"/>
          <w:highlight w:val="none"/>
          <w:lang w:val="en-US"/>
        </w:rPr>
        <w:t xml:space="preserve"> 业绩要求：近三年（</w:t>
      </w:r>
      <w:r>
        <w:rPr>
          <w:color w:val="auto"/>
          <w:sz w:val="24"/>
          <w:szCs w:val="24"/>
          <w:highlight w:val="none"/>
          <w:lang w:val="en-US"/>
        </w:rPr>
        <w:t>201</w:t>
      </w:r>
      <w:r>
        <w:rPr>
          <w:rFonts w:hint="eastAsia"/>
          <w:color w:val="auto"/>
          <w:sz w:val="24"/>
          <w:szCs w:val="24"/>
          <w:highlight w:val="none"/>
          <w:lang w:val="en-US" w:eastAsia="zh-CN"/>
        </w:rPr>
        <w:t>9</w:t>
      </w:r>
      <w:r>
        <w:rPr>
          <w:color w:val="auto"/>
          <w:sz w:val="24"/>
          <w:szCs w:val="24"/>
          <w:highlight w:val="none"/>
          <w:lang w:val="en-US"/>
        </w:rPr>
        <w:t>年1月1日至今</w:t>
      </w:r>
      <w:r>
        <w:rPr>
          <w:rFonts w:hint="eastAsia"/>
          <w:color w:val="auto"/>
          <w:sz w:val="24"/>
          <w:szCs w:val="24"/>
          <w:highlight w:val="none"/>
          <w:lang w:val="en-US"/>
        </w:rPr>
        <w:t>）</w:t>
      </w:r>
      <w:r>
        <w:rPr>
          <w:color w:val="auto"/>
          <w:sz w:val="24"/>
          <w:szCs w:val="24"/>
          <w:highlight w:val="none"/>
          <w:lang w:val="en-US"/>
        </w:rPr>
        <w:t>，</w:t>
      </w:r>
      <w:r>
        <w:rPr>
          <w:rFonts w:hint="eastAsia"/>
          <w:color w:val="auto"/>
          <w:sz w:val="24"/>
          <w:szCs w:val="24"/>
          <w:highlight w:val="none"/>
          <w:lang w:val="en-US"/>
        </w:rPr>
        <w:t>至少承担过</w:t>
      </w:r>
      <w:r>
        <w:rPr>
          <w:rFonts w:hint="eastAsia"/>
          <w:color w:val="auto"/>
          <w:sz w:val="24"/>
          <w:szCs w:val="24"/>
          <w:highlight w:val="none"/>
          <w:lang w:val="en-US" w:eastAsia="zh-CN"/>
        </w:rPr>
        <w:t>1</w:t>
      </w:r>
      <w:r>
        <w:rPr>
          <w:rFonts w:hint="eastAsia"/>
          <w:color w:val="auto"/>
          <w:sz w:val="24"/>
          <w:szCs w:val="24"/>
          <w:highlight w:val="none"/>
          <w:lang w:val="en-US"/>
        </w:rPr>
        <w:t>个单个合同额</w:t>
      </w:r>
      <w:r>
        <w:rPr>
          <w:color w:val="auto"/>
          <w:sz w:val="24"/>
          <w:szCs w:val="24"/>
          <w:highlight w:val="none"/>
          <w:lang w:val="en-US"/>
        </w:rPr>
        <w:t>100</w:t>
      </w:r>
      <w:r>
        <w:rPr>
          <w:rFonts w:hint="eastAsia"/>
          <w:color w:val="auto"/>
          <w:sz w:val="24"/>
          <w:szCs w:val="24"/>
          <w:highlight w:val="none"/>
          <w:lang w:val="en-US"/>
        </w:rPr>
        <w:t>万元</w:t>
      </w:r>
      <w:r>
        <w:rPr>
          <w:color w:val="auto"/>
          <w:sz w:val="24"/>
          <w:szCs w:val="24"/>
          <w:highlight w:val="none"/>
          <w:lang w:val="en-US"/>
        </w:rPr>
        <w:t>及以上物业管理业绩</w:t>
      </w:r>
      <w:r>
        <w:rPr>
          <w:rFonts w:hint="eastAsia"/>
          <w:color w:val="auto"/>
          <w:sz w:val="24"/>
          <w:szCs w:val="24"/>
          <w:highlight w:val="none"/>
          <w:lang w:val="en-US"/>
        </w:rPr>
        <w:t>（合同年限为多年的，每年合同额不低于1</w:t>
      </w:r>
      <w:r>
        <w:rPr>
          <w:color w:val="auto"/>
          <w:sz w:val="24"/>
          <w:szCs w:val="24"/>
          <w:highlight w:val="none"/>
          <w:lang w:val="en-US"/>
        </w:rPr>
        <w:t>00</w:t>
      </w:r>
      <w:r>
        <w:rPr>
          <w:rFonts w:hint="eastAsia"/>
          <w:color w:val="auto"/>
          <w:sz w:val="24"/>
          <w:szCs w:val="24"/>
          <w:highlight w:val="none"/>
          <w:lang w:val="en-US"/>
        </w:rPr>
        <w:t>万元，合同年限为多年的视为一个业绩。</w:t>
      </w:r>
      <w:r>
        <w:rPr>
          <w:color w:val="auto"/>
          <w:sz w:val="24"/>
          <w:szCs w:val="24"/>
          <w:highlight w:val="none"/>
          <w:lang w:val="en-US"/>
        </w:rPr>
        <w:t>以合同协议书中开始履约时间为准</w:t>
      </w:r>
      <w:r>
        <w:rPr>
          <w:rFonts w:hint="eastAsia"/>
          <w:color w:val="auto"/>
          <w:sz w:val="24"/>
          <w:szCs w:val="24"/>
          <w:highlight w:val="none"/>
          <w:lang w:val="en-US"/>
        </w:rPr>
        <w:t>，合同协议书不能证明以上信息的，应附业主加盖公章的证明材料</w:t>
      </w:r>
      <w:r>
        <w:rPr>
          <w:color w:val="auto"/>
          <w:sz w:val="24"/>
          <w:szCs w:val="24"/>
          <w:highlight w:val="none"/>
          <w:lang w:val="en-US"/>
        </w:rPr>
        <w:t>）</w:t>
      </w:r>
      <w:r>
        <w:rPr>
          <w:rFonts w:hint="eastAsia"/>
          <w:color w:val="auto"/>
          <w:sz w:val="24"/>
          <w:szCs w:val="24"/>
          <w:highlight w:val="none"/>
          <w:lang w:val="en-US"/>
        </w:rPr>
        <w:t>。</w:t>
      </w:r>
    </w:p>
    <w:p>
      <w:pPr>
        <w:pStyle w:val="2"/>
        <w:tabs>
          <w:tab w:val="left" w:pos="3706"/>
        </w:tabs>
        <w:spacing w:before="301" w:line="360" w:lineRule="auto"/>
        <w:ind w:left="240" w:right="588" w:firstLine="419"/>
        <w:rPr>
          <w:color w:val="auto"/>
          <w:sz w:val="24"/>
          <w:szCs w:val="24"/>
          <w:highlight w:val="none"/>
          <w:lang w:val="en-US"/>
        </w:rPr>
      </w:pPr>
      <w:r>
        <w:rPr>
          <w:rFonts w:hint="eastAsia"/>
          <w:color w:val="auto"/>
          <w:sz w:val="24"/>
          <w:szCs w:val="24"/>
          <w:highlight w:val="none"/>
          <w:lang w:val="en-US"/>
        </w:rPr>
        <w:t>3.</w:t>
      </w:r>
      <w:r>
        <w:rPr>
          <w:color w:val="auto"/>
          <w:sz w:val="24"/>
          <w:szCs w:val="24"/>
          <w:highlight w:val="none"/>
          <w:lang w:val="en-US"/>
        </w:rPr>
        <w:t>3</w:t>
      </w:r>
      <w:r>
        <w:rPr>
          <w:rFonts w:hint="eastAsia"/>
          <w:color w:val="auto"/>
          <w:sz w:val="24"/>
          <w:szCs w:val="24"/>
          <w:highlight w:val="none"/>
          <w:lang w:val="en-US"/>
        </w:rPr>
        <w:t xml:space="preserve"> 信誉要求：投标人（单位）或法定代表人近三年无行贿犯罪档案记录（提供书面承诺）或投标人在“信用中国”网站（http://www.creditchina.gov.cn）中未被列入失信被执行人名单（查询结果截图证明）。</w:t>
      </w:r>
    </w:p>
    <w:p>
      <w:pPr>
        <w:pStyle w:val="2"/>
        <w:tabs>
          <w:tab w:val="left" w:pos="3706"/>
        </w:tabs>
        <w:spacing w:before="301" w:line="360" w:lineRule="auto"/>
        <w:ind w:left="240" w:right="588" w:firstLine="419"/>
        <w:rPr>
          <w:color w:val="auto"/>
          <w:sz w:val="24"/>
          <w:szCs w:val="24"/>
          <w:highlight w:val="none"/>
          <w:u w:val="single"/>
        </w:rPr>
      </w:pPr>
      <w:r>
        <w:rPr>
          <w:rFonts w:hint="eastAsia"/>
          <w:color w:val="auto"/>
          <w:sz w:val="24"/>
          <w:szCs w:val="24"/>
          <w:highlight w:val="none"/>
          <w:lang w:val="en-US"/>
        </w:rPr>
        <w:t>3.</w:t>
      </w:r>
      <w:r>
        <w:rPr>
          <w:color w:val="auto"/>
          <w:sz w:val="24"/>
          <w:szCs w:val="24"/>
          <w:highlight w:val="none"/>
          <w:lang w:val="en-US"/>
        </w:rPr>
        <w:t>4</w:t>
      </w:r>
      <w:r>
        <w:rPr>
          <w:rFonts w:hint="eastAsia"/>
          <w:color w:val="auto"/>
          <w:sz w:val="24"/>
          <w:szCs w:val="24"/>
          <w:highlight w:val="none"/>
          <w:lang w:val="en-US"/>
        </w:rPr>
        <w:t xml:space="preserve"> 本次招标不接受联合体投标。</w:t>
      </w:r>
    </w:p>
    <w:p>
      <w:pPr>
        <w:pStyle w:val="38"/>
        <w:numPr>
          <w:ilvl w:val="0"/>
          <w:numId w:val="1"/>
        </w:numPr>
        <w:tabs>
          <w:tab w:val="left" w:pos="642"/>
        </w:tabs>
        <w:spacing w:before="175" w:line="360" w:lineRule="auto"/>
        <w:ind w:hanging="402"/>
        <w:rPr>
          <w:b/>
          <w:color w:val="auto"/>
          <w:sz w:val="24"/>
          <w:szCs w:val="24"/>
          <w:highlight w:val="none"/>
        </w:rPr>
      </w:pPr>
      <w:bookmarkStart w:id="8" w:name="_bookmark6"/>
      <w:bookmarkEnd w:id="8"/>
      <w:bookmarkStart w:id="9" w:name="_bookmark5"/>
      <w:bookmarkEnd w:id="9"/>
      <w:bookmarkStart w:id="10" w:name="_Toc25576_WPSOffice_Level2"/>
      <w:r>
        <w:rPr>
          <w:rFonts w:hint="eastAsia"/>
          <w:b/>
          <w:color w:val="auto"/>
          <w:sz w:val="24"/>
          <w:szCs w:val="24"/>
          <w:highlight w:val="none"/>
        </w:rPr>
        <w:t>招标文件的获取</w:t>
      </w:r>
      <w:bookmarkEnd w:id="10"/>
    </w:p>
    <w:p>
      <w:pPr>
        <w:pStyle w:val="2"/>
        <w:tabs>
          <w:tab w:val="left" w:pos="3632"/>
          <w:tab w:val="left" w:pos="7203"/>
        </w:tabs>
        <w:spacing w:before="132" w:line="360" w:lineRule="auto"/>
        <w:ind w:left="240" w:right="691" w:firstLine="419"/>
        <w:rPr>
          <w:rFonts w:hint="eastAsia"/>
          <w:color w:val="auto"/>
          <w:sz w:val="24"/>
          <w:szCs w:val="24"/>
          <w:highlight w:val="none"/>
          <w:lang w:val="en-US"/>
        </w:rPr>
      </w:pPr>
      <w:r>
        <w:rPr>
          <w:rFonts w:hint="eastAsia"/>
          <w:color w:val="auto"/>
          <w:sz w:val="24"/>
          <w:szCs w:val="24"/>
          <w:highlight w:val="none"/>
          <w:lang w:val="en-US"/>
        </w:rPr>
        <w:t>4.1 凡有意参加投标者，请于202</w:t>
      </w:r>
      <w:r>
        <w:rPr>
          <w:rFonts w:hint="eastAsia"/>
          <w:color w:val="auto"/>
          <w:sz w:val="24"/>
          <w:szCs w:val="24"/>
          <w:highlight w:val="none"/>
          <w:lang w:val="en-US" w:eastAsia="zh-CN"/>
        </w:rPr>
        <w:t>2</w:t>
      </w:r>
      <w:r>
        <w:rPr>
          <w:rFonts w:hint="eastAsia"/>
          <w:color w:val="auto"/>
          <w:sz w:val="24"/>
          <w:szCs w:val="24"/>
          <w:highlight w:val="none"/>
          <w:lang w:val="en-US"/>
        </w:rPr>
        <w:t>年</w:t>
      </w:r>
      <w:r>
        <w:rPr>
          <w:rFonts w:hint="default"/>
          <w:color w:val="auto"/>
          <w:sz w:val="24"/>
          <w:szCs w:val="24"/>
          <w:highlight w:val="none"/>
        </w:rPr>
        <w:t>11</w:t>
      </w:r>
      <w:r>
        <w:rPr>
          <w:rFonts w:hint="eastAsia"/>
          <w:color w:val="auto"/>
          <w:sz w:val="24"/>
          <w:szCs w:val="24"/>
          <w:highlight w:val="none"/>
          <w:lang w:val="en-US"/>
        </w:rPr>
        <w:t>月</w:t>
      </w:r>
      <w:r>
        <w:rPr>
          <w:rFonts w:hint="default"/>
          <w:color w:val="auto"/>
          <w:sz w:val="24"/>
          <w:szCs w:val="24"/>
          <w:highlight w:val="none"/>
        </w:rPr>
        <w:t>23</w:t>
      </w:r>
      <w:r>
        <w:rPr>
          <w:rFonts w:hint="eastAsia"/>
          <w:color w:val="auto"/>
          <w:sz w:val="24"/>
          <w:szCs w:val="24"/>
          <w:highlight w:val="none"/>
          <w:lang w:val="en-US"/>
        </w:rPr>
        <w:t>日至20</w:t>
      </w:r>
      <w:r>
        <w:rPr>
          <w:rFonts w:hint="eastAsia"/>
          <w:color w:val="auto"/>
          <w:sz w:val="24"/>
          <w:szCs w:val="24"/>
          <w:highlight w:val="none"/>
          <w:lang w:val="en-US" w:eastAsia="zh-CN"/>
        </w:rPr>
        <w:t>22</w:t>
      </w:r>
      <w:r>
        <w:rPr>
          <w:rFonts w:hint="eastAsia"/>
          <w:color w:val="auto"/>
          <w:sz w:val="24"/>
          <w:szCs w:val="24"/>
          <w:highlight w:val="none"/>
          <w:lang w:val="en-US"/>
        </w:rPr>
        <w:t>年</w:t>
      </w:r>
      <w:r>
        <w:rPr>
          <w:rFonts w:hint="default"/>
          <w:color w:val="auto"/>
          <w:sz w:val="24"/>
          <w:szCs w:val="24"/>
          <w:highlight w:val="none"/>
        </w:rPr>
        <w:t>11</w:t>
      </w:r>
      <w:r>
        <w:rPr>
          <w:rFonts w:hint="eastAsia"/>
          <w:color w:val="auto"/>
          <w:sz w:val="24"/>
          <w:szCs w:val="24"/>
          <w:highlight w:val="none"/>
          <w:lang w:val="en-US"/>
        </w:rPr>
        <w:t>月</w:t>
      </w:r>
      <w:r>
        <w:rPr>
          <w:rFonts w:hint="default"/>
          <w:color w:val="auto"/>
          <w:sz w:val="24"/>
          <w:szCs w:val="24"/>
          <w:highlight w:val="none"/>
        </w:rPr>
        <w:t>29</w:t>
      </w:r>
      <w:r>
        <w:rPr>
          <w:rFonts w:hint="eastAsia"/>
          <w:color w:val="auto"/>
          <w:sz w:val="24"/>
          <w:szCs w:val="24"/>
          <w:highlight w:val="none"/>
          <w:lang w:val="en-US"/>
        </w:rPr>
        <w:t>日在四川蜀道新制式轨道集团有限公司官网（网址：https://www.shudaogdjt.com/免费领取招标文件。</w:t>
      </w:r>
      <w:bookmarkStart w:id="212" w:name="_GoBack"/>
      <w:bookmarkEnd w:id="212"/>
    </w:p>
    <w:p>
      <w:pPr>
        <w:pStyle w:val="2"/>
        <w:tabs>
          <w:tab w:val="left" w:pos="3632"/>
          <w:tab w:val="left" w:pos="7203"/>
        </w:tabs>
        <w:spacing w:before="132" w:line="360" w:lineRule="auto"/>
        <w:ind w:left="240" w:right="691" w:firstLine="419"/>
        <w:rPr>
          <w:color w:val="auto"/>
          <w:sz w:val="24"/>
          <w:szCs w:val="24"/>
          <w:highlight w:val="none"/>
          <w:lang w:val="en-US"/>
        </w:rPr>
      </w:pPr>
      <w:r>
        <w:rPr>
          <w:rFonts w:hint="eastAsia"/>
          <w:color w:val="auto"/>
          <w:sz w:val="24"/>
          <w:szCs w:val="24"/>
          <w:highlight w:val="none"/>
          <w:lang w:val="en-US"/>
        </w:rPr>
        <w:t>4.2招标人不提供邮购招标文件服务。</w:t>
      </w:r>
    </w:p>
    <w:p>
      <w:pPr>
        <w:pStyle w:val="38"/>
        <w:numPr>
          <w:ilvl w:val="0"/>
          <w:numId w:val="1"/>
        </w:numPr>
        <w:tabs>
          <w:tab w:val="left" w:pos="642"/>
        </w:tabs>
        <w:spacing w:before="49" w:line="360" w:lineRule="auto"/>
        <w:ind w:hanging="402"/>
        <w:rPr>
          <w:b/>
          <w:color w:val="auto"/>
          <w:sz w:val="24"/>
          <w:szCs w:val="24"/>
          <w:highlight w:val="none"/>
        </w:rPr>
      </w:pPr>
      <w:bookmarkStart w:id="11" w:name="_bookmark7"/>
      <w:bookmarkEnd w:id="11"/>
      <w:bookmarkStart w:id="12" w:name="_Toc2987_WPSOffice_Level2"/>
      <w:r>
        <w:rPr>
          <w:rFonts w:hint="eastAsia"/>
          <w:b/>
          <w:color w:val="auto"/>
          <w:sz w:val="24"/>
          <w:szCs w:val="24"/>
          <w:highlight w:val="none"/>
        </w:rPr>
        <w:t>投标文件的递交</w:t>
      </w:r>
      <w:bookmarkEnd w:id="12"/>
    </w:p>
    <w:p>
      <w:pPr>
        <w:pStyle w:val="2"/>
        <w:spacing w:before="2" w:line="360" w:lineRule="auto"/>
        <w:ind w:left="238" w:right="727" w:firstLine="480" w:firstLineChars="200"/>
        <w:rPr>
          <w:color w:val="auto"/>
          <w:sz w:val="24"/>
          <w:szCs w:val="24"/>
          <w:highlight w:val="none"/>
          <w:lang w:val="en-US"/>
        </w:rPr>
      </w:pPr>
      <w:r>
        <w:rPr>
          <w:rFonts w:hint="eastAsia"/>
          <w:color w:val="auto"/>
          <w:sz w:val="24"/>
          <w:szCs w:val="24"/>
          <w:highlight w:val="none"/>
          <w:lang w:val="en-US"/>
        </w:rPr>
        <w:t xml:space="preserve">5.1 投标文件递交截止时间 </w:t>
      </w:r>
      <w:r>
        <w:rPr>
          <w:color w:val="auto"/>
          <w:sz w:val="24"/>
          <w:szCs w:val="24"/>
          <w:highlight w:val="none"/>
          <w:lang w:val="en-US"/>
        </w:rPr>
        <w:t>202</w:t>
      </w:r>
      <w:r>
        <w:rPr>
          <w:rFonts w:hint="eastAsia"/>
          <w:color w:val="auto"/>
          <w:sz w:val="24"/>
          <w:szCs w:val="24"/>
          <w:highlight w:val="none"/>
          <w:lang w:val="en-US" w:eastAsia="zh-CN"/>
        </w:rPr>
        <w:t>2</w:t>
      </w:r>
      <w:r>
        <w:rPr>
          <w:rFonts w:hint="eastAsia"/>
          <w:color w:val="auto"/>
          <w:sz w:val="24"/>
          <w:szCs w:val="24"/>
          <w:highlight w:val="none"/>
          <w:lang w:val="en-US"/>
        </w:rPr>
        <w:t>年</w:t>
      </w:r>
      <w:r>
        <w:rPr>
          <w:rFonts w:hint="default"/>
          <w:color w:val="auto"/>
          <w:sz w:val="24"/>
          <w:szCs w:val="24"/>
          <w:highlight w:val="none"/>
        </w:rPr>
        <w:t>12</w:t>
      </w:r>
      <w:r>
        <w:rPr>
          <w:rFonts w:hint="eastAsia"/>
          <w:color w:val="auto"/>
          <w:sz w:val="24"/>
          <w:szCs w:val="24"/>
          <w:highlight w:val="none"/>
          <w:lang w:val="en-US"/>
        </w:rPr>
        <w:t>月</w:t>
      </w:r>
      <w:r>
        <w:rPr>
          <w:rFonts w:hint="default"/>
          <w:color w:val="auto"/>
          <w:sz w:val="24"/>
          <w:szCs w:val="24"/>
          <w:highlight w:val="none"/>
        </w:rPr>
        <w:t>15</w:t>
      </w:r>
      <w:r>
        <w:rPr>
          <w:rFonts w:hint="eastAsia"/>
          <w:color w:val="auto"/>
          <w:sz w:val="24"/>
          <w:szCs w:val="24"/>
          <w:highlight w:val="none"/>
          <w:lang w:val="en-US"/>
        </w:rPr>
        <w:t>日</w:t>
      </w:r>
      <w:r>
        <w:rPr>
          <w:color w:val="auto"/>
          <w:sz w:val="24"/>
          <w:szCs w:val="24"/>
          <w:highlight w:val="none"/>
          <w:lang w:val="en-US"/>
        </w:rPr>
        <w:t>10</w:t>
      </w:r>
      <w:r>
        <w:rPr>
          <w:rFonts w:hint="eastAsia"/>
          <w:color w:val="auto"/>
          <w:sz w:val="24"/>
          <w:szCs w:val="24"/>
          <w:highlight w:val="none"/>
          <w:lang w:val="en-US"/>
        </w:rPr>
        <w:t>:</w:t>
      </w:r>
      <w:r>
        <w:rPr>
          <w:color w:val="auto"/>
          <w:sz w:val="24"/>
          <w:szCs w:val="24"/>
          <w:highlight w:val="none"/>
          <w:lang w:val="en-US"/>
        </w:rPr>
        <w:t>00</w:t>
      </w:r>
      <w:r>
        <w:rPr>
          <w:rFonts w:hint="eastAsia"/>
          <w:color w:val="auto"/>
          <w:sz w:val="24"/>
          <w:szCs w:val="24"/>
          <w:highlight w:val="none"/>
          <w:lang w:val="en-US"/>
        </w:rPr>
        <w:t xml:space="preserve"> 时；地点：</w:t>
      </w:r>
      <w:r>
        <w:rPr>
          <w:rFonts w:hint="eastAsia"/>
          <w:color w:val="auto"/>
          <w:sz w:val="24"/>
          <w:szCs w:val="24"/>
          <w:highlight w:val="none"/>
          <w:u w:val="single"/>
          <w:lang w:val="en-US"/>
        </w:rPr>
        <w:t>中通建设工程管理有限公司（成都市高新区吉庆三路333号蜀都中心二期1栋4单元2704）</w:t>
      </w:r>
      <w:r>
        <w:rPr>
          <w:rFonts w:hint="eastAsia"/>
          <w:color w:val="auto"/>
          <w:sz w:val="24"/>
          <w:szCs w:val="24"/>
          <w:highlight w:val="none"/>
          <w:lang w:val="en-US"/>
        </w:rPr>
        <w:t>。</w:t>
      </w:r>
    </w:p>
    <w:p>
      <w:pPr>
        <w:pStyle w:val="2"/>
        <w:spacing w:before="2" w:line="360" w:lineRule="auto"/>
        <w:ind w:left="238" w:right="727" w:firstLine="480" w:firstLineChars="200"/>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.2  逾期送达或者未送达指定地点或者不按照招标文件要求密封的投标文件，招标人不予受理。</w:t>
      </w:r>
    </w:p>
    <w:p>
      <w:pPr>
        <w:pStyle w:val="38"/>
        <w:numPr>
          <w:ilvl w:val="0"/>
          <w:numId w:val="1"/>
        </w:numPr>
        <w:tabs>
          <w:tab w:val="left" w:pos="642"/>
        </w:tabs>
        <w:spacing w:before="178" w:line="360" w:lineRule="auto"/>
        <w:ind w:hanging="402"/>
        <w:rPr>
          <w:b/>
          <w:color w:val="auto"/>
          <w:sz w:val="24"/>
          <w:szCs w:val="24"/>
          <w:highlight w:val="none"/>
        </w:rPr>
      </w:pPr>
      <w:bookmarkStart w:id="13" w:name="_bookmark8"/>
      <w:bookmarkEnd w:id="13"/>
      <w:bookmarkStart w:id="14" w:name="_Toc23265_WPSOffice_Level2"/>
      <w:r>
        <w:rPr>
          <w:rFonts w:hint="eastAsia"/>
          <w:b/>
          <w:color w:val="auto"/>
          <w:sz w:val="24"/>
          <w:szCs w:val="24"/>
          <w:highlight w:val="none"/>
        </w:rPr>
        <w:t>发布公告的媒介</w:t>
      </w:r>
      <w:bookmarkEnd w:id="14"/>
    </w:p>
    <w:p>
      <w:pPr>
        <w:pStyle w:val="2"/>
        <w:tabs>
          <w:tab w:val="left" w:pos="4020"/>
        </w:tabs>
        <w:spacing w:before="302" w:line="360" w:lineRule="auto"/>
        <w:ind w:left="658" w:firstLine="480" w:firstLineChars="200"/>
        <w:rPr>
          <w:color w:val="auto"/>
          <w:sz w:val="24"/>
          <w:szCs w:val="24"/>
          <w:highlight w:val="none"/>
        </w:rPr>
      </w:pPr>
      <w:r>
        <w:rPr>
          <w:rFonts w:hint="eastAsia"/>
          <w:color w:val="auto"/>
          <w:sz w:val="24"/>
          <w:szCs w:val="24"/>
          <w:highlight w:val="none"/>
        </w:rPr>
        <w:t>本次</w:t>
      </w:r>
      <w:r>
        <w:rPr>
          <w:rFonts w:hint="eastAsia"/>
          <w:color w:val="auto"/>
          <w:spacing w:val="-3"/>
          <w:sz w:val="24"/>
          <w:szCs w:val="24"/>
          <w:highlight w:val="none"/>
        </w:rPr>
        <w:t>招</w:t>
      </w:r>
      <w:r>
        <w:rPr>
          <w:rFonts w:hint="eastAsia"/>
          <w:color w:val="auto"/>
          <w:sz w:val="24"/>
          <w:szCs w:val="24"/>
          <w:highlight w:val="none"/>
        </w:rPr>
        <w:t>标</w:t>
      </w:r>
      <w:r>
        <w:rPr>
          <w:rFonts w:hint="eastAsia"/>
          <w:color w:val="auto"/>
          <w:spacing w:val="-3"/>
          <w:sz w:val="24"/>
          <w:szCs w:val="24"/>
          <w:highlight w:val="none"/>
        </w:rPr>
        <w:t>公</w:t>
      </w:r>
      <w:r>
        <w:rPr>
          <w:rFonts w:hint="eastAsia"/>
          <w:color w:val="auto"/>
          <w:sz w:val="24"/>
          <w:szCs w:val="24"/>
          <w:highlight w:val="none"/>
        </w:rPr>
        <w:t>告</w:t>
      </w:r>
      <w:r>
        <w:rPr>
          <w:rFonts w:hint="eastAsia"/>
          <w:color w:val="auto"/>
          <w:spacing w:val="-3"/>
          <w:sz w:val="24"/>
          <w:szCs w:val="24"/>
          <w:highlight w:val="none"/>
        </w:rPr>
        <w:t>在</w:t>
      </w:r>
      <w:r>
        <w:rPr>
          <w:rFonts w:hint="eastAsia"/>
          <w:color w:val="auto"/>
          <w:sz w:val="24"/>
          <w:szCs w:val="24"/>
          <w:highlight w:val="none"/>
          <w:lang w:val="en-US"/>
        </w:rPr>
        <w:t>在四川蜀道新制式轨道集团有限公司官网（网址：https://www.shudaogdjt.com/</w:t>
      </w:r>
      <w:r>
        <w:rPr>
          <w:rFonts w:hint="eastAsia"/>
          <w:color w:val="auto"/>
          <w:spacing w:val="-3"/>
          <w:sz w:val="24"/>
          <w:szCs w:val="24"/>
          <w:highlight w:val="none"/>
          <w:u w:val="single"/>
        </w:rPr>
        <w:t>）</w:t>
      </w:r>
      <w:r>
        <w:rPr>
          <w:rFonts w:hint="eastAsia"/>
          <w:color w:val="auto"/>
          <w:spacing w:val="-3"/>
          <w:sz w:val="24"/>
          <w:szCs w:val="24"/>
          <w:highlight w:val="none"/>
        </w:rPr>
        <w:t>上</w:t>
      </w:r>
      <w:r>
        <w:rPr>
          <w:rFonts w:hint="eastAsia"/>
          <w:color w:val="auto"/>
          <w:sz w:val="24"/>
          <w:szCs w:val="24"/>
          <w:highlight w:val="none"/>
        </w:rPr>
        <w:t>发</w:t>
      </w:r>
      <w:r>
        <w:rPr>
          <w:rFonts w:hint="eastAsia"/>
          <w:color w:val="auto"/>
          <w:spacing w:val="-3"/>
          <w:sz w:val="24"/>
          <w:szCs w:val="24"/>
          <w:highlight w:val="none"/>
        </w:rPr>
        <w:t>布</w:t>
      </w:r>
      <w:r>
        <w:rPr>
          <w:rFonts w:hint="eastAsia"/>
          <w:color w:val="auto"/>
          <w:sz w:val="24"/>
          <w:szCs w:val="24"/>
          <w:highlight w:val="none"/>
        </w:rPr>
        <w:t>。</w:t>
      </w:r>
    </w:p>
    <w:p>
      <w:pPr>
        <w:pStyle w:val="38"/>
        <w:numPr>
          <w:ilvl w:val="0"/>
          <w:numId w:val="1"/>
        </w:numPr>
        <w:tabs>
          <w:tab w:val="left" w:pos="642"/>
        </w:tabs>
        <w:spacing w:before="175"/>
        <w:ind w:hanging="402"/>
        <w:rPr>
          <w:b/>
          <w:color w:val="auto"/>
          <w:sz w:val="24"/>
          <w:szCs w:val="24"/>
          <w:highlight w:val="none"/>
        </w:rPr>
      </w:pPr>
      <w:bookmarkStart w:id="15" w:name="_bookmark9"/>
      <w:bookmarkEnd w:id="15"/>
      <w:bookmarkStart w:id="16" w:name="_Toc28655_WPSOffice_Level2"/>
      <w:r>
        <w:rPr>
          <w:rFonts w:hint="eastAsia"/>
          <w:b/>
          <w:color w:val="auto"/>
          <w:sz w:val="24"/>
          <w:szCs w:val="24"/>
          <w:highlight w:val="none"/>
        </w:rPr>
        <w:t>联系方式</w:t>
      </w:r>
      <w:bookmarkEnd w:id="16"/>
    </w:p>
    <w:p>
      <w:pPr>
        <w:pStyle w:val="2"/>
        <w:tabs>
          <w:tab w:val="left" w:pos="4368"/>
          <w:tab w:val="left" w:pos="8130"/>
        </w:tabs>
        <w:spacing w:before="302"/>
        <w:ind w:left="658" w:right="1446"/>
        <w:jc w:val="both"/>
        <w:rPr>
          <w:color w:val="auto"/>
          <w:sz w:val="24"/>
          <w:szCs w:val="24"/>
          <w:highlight w:val="none"/>
        </w:rPr>
      </w:pPr>
      <w:r>
        <w:rPr>
          <w:rFonts w:hint="eastAsia"/>
          <w:color w:val="auto"/>
          <w:sz w:val="24"/>
          <w:szCs w:val="24"/>
          <w:highlight w:val="none"/>
        </w:rPr>
        <w:t>招 标 人：四川都金山地轨道交通有限责任公司</w:t>
      </w:r>
    </w:p>
    <w:p>
      <w:pPr>
        <w:pStyle w:val="2"/>
        <w:tabs>
          <w:tab w:val="left" w:pos="4368"/>
          <w:tab w:val="left" w:pos="8130"/>
        </w:tabs>
        <w:spacing w:before="302"/>
        <w:ind w:left="658" w:right="1446"/>
        <w:jc w:val="both"/>
        <w:rPr>
          <w:color w:val="auto"/>
          <w:sz w:val="24"/>
          <w:szCs w:val="24"/>
          <w:highlight w:val="none"/>
        </w:rPr>
      </w:pPr>
      <w:r>
        <w:rPr>
          <w:rFonts w:hint="eastAsia"/>
          <w:color w:val="auto"/>
          <w:sz w:val="24"/>
          <w:szCs w:val="24"/>
          <w:highlight w:val="none"/>
        </w:rPr>
        <w:t xml:space="preserve">地   </w:t>
      </w:r>
      <w:r>
        <w:rPr>
          <w:rFonts w:hint="eastAsia"/>
          <w:color w:val="auto"/>
          <w:spacing w:val="2"/>
          <w:sz w:val="24"/>
          <w:szCs w:val="24"/>
          <w:highlight w:val="none"/>
        </w:rPr>
        <w:t xml:space="preserve"> </w:t>
      </w:r>
      <w:r>
        <w:rPr>
          <w:rFonts w:hint="eastAsia"/>
          <w:color w:val="auto"/>
          <w:sz w:val="24"/>
          <w:szCs w:val="24"/>
          <w:highlight w:val="none"/>
        </w:rPr>
        <w:t>址：</w:t>
      </w:r>
      <w:r>
        <w:rPr>
          <w:rFonts w:hint="eastAsia"/>
          <w:color w:val="auto"/>
          <w:sz w:val="24"/>
          <w:szCs w:val="24"/>
          <w:highlight w:val="none"/>
          <w:lang w:val="en-US"/>
        </w:rPr>
        <w:t>都江堰市观景路</w:t>
      </w:r>
      <w:r>
        <w:rPr>
          <w:color w:val="auto"/>
          <w:sz w:val="24"/>
          <w:szCs w:val="24"/>
          <w:highlight w:val="none"/>
          <w:lang w:val="en-US"/>
        </w:rPr>
        <w:t>833号</w:t>
      </w:r>
      <w:r>
        <w:rPr>
          <w:color w:val="auto"/>
          <w:sz w:val="24"/>
          <w:szCs w:val="24"/>
          <w:highlight w:val="none"/>
        </w:rPr>
        <w:t xml:space="preserve"> </w:t>
      </w:r>
    </w:p>
    <w:p>
      <w:pPr>
        <w:pStyle w:val="2"/>
        <w:tabs>
          <w:tab w:val="left" w:pos="4368"/>
          <w:tab w:val="left" w:pos="8130"/>
        </w:tabs>
        <w:spacing w:before="302"/>
        <w:ind w:left="658" w:right="1446"/>
        <w:jc w:val="both"/>
        <w:rPr>
          <w:color w:val="auto"/>
          <w:sz w:val="24"/>
          <w:szCs w:val="24"/>
          <w:highlight w:val="none"/>
          <w:lang w:val="en-US"/>
        </w:rPr>
      </w:pPr>
      <w:r>
        <w:rPr>
          <w:rFonts w:hint="eastAsia"/>
          <w:color w:val="auto"/>
          <w:sz w:val="24"/>
          <w:szCs w:val="24"/>
          <w:highlight w:val="none"/>
        </w:rPr>
        <w:t>联 系 人：</w:t>
      </w:r>
      <w:r>
        <w:rPr>
          <w:rFonts w:hint="eastAsia"/>
          <w:color w:val="auto"/>
          <w:sz w:val="24"/>
          <w:szCs w:val="24"/>
          <w:highlight w:val="none"/>
          <w:lang w:val="en-US"/>
        </w:rPr>
        <w:t>王女士</w:t>
      </w:r>
    </w:p>
    <w:p>
      <w:pPr>
        <w:pStyle w:val="2"/>
        <w:tabs>
          <w:tab w:val="left" w:pos="4368"/>
          <w:tab w:val="left" w:pos="8130"/>
        </w:tabs>
        <w:spacing w:before="302"/>
        <w:ind w:left="658" w:right="1446"/>
        <w:jc w:val="both"/>
        <w:rPr>
          <w:color w:val="auto"/>
          <w:sz w:val="24"/>
          <w:szCs w:val="24"/>
          <w:highlight w:val="none"/>
          <w:lang w:val="en-US"/>
        </w:rPr>
      </w:pPr>
      <w:r>
        <w:rPr>
          <w:rFonts w:hint="eastAsia"/>
          <w:color w:val="auto"/>
          <w:sz w:val="24"/>
          <w:szCs w:val="24"/>
          <w:highlight w:val="none"/>
        </w:rPr>
        <w:t>电    话：</w:t>
      </w:r>
      <w:r>
        <w:rPr>
          <w:color w:val="auto"/>
          <w:sz w:val="24"/>
          <w:szCs w:val="24"/>
          <w:highlight w:val="none"/>
          <w:lang w:val="en-US"/>
        </w:rPr>
        <w:t>028-67157291</w:t>
      </w:r>
    </w:p>
    <w:p>
      <w:pPr>
        <w:pStyle w:val="2"/>
        <w:tabs>
          <w:tab w:val="left" w:pos="4368"/>
          <w:tab w:val="left" w:pos="8130"/>
        </w:tabs>
        <w:spacing w:before="302"/>
        <w:ind w:left="658" w:right="1446"/>
        <w:jc w:val="both"/>
        <w:rPr>
          <w:color w:val="auto"/>
          <w:sz w:val="24"/>
          <w:szCs w:val="24"/>
          <w:highlight w:val="none"/>
        </w:rPr>
      </w:pPr>
    </w:p>
    <w:p>
      <w:pPr>
        <w:pStyle w:val="2"/>
        <w:tabs>
          <w:tab w:val="left" w:pos="4368"/>
          <w:tab w:val="left" w:pos="8130"/>
        </w:tabs>
        <w:spacing w:before="302"/>
        <w:ind w:left="658" w:right="1446"/>
        <w:jc w:val="both"/>
        <w:rPr>
          <w:color w:val="auto"/>
          <w:sz w:val="24"/>
          <w:szCs w:val="24"/>
          <w:highlight w:val="none"/>
        </w:rPr>
      </w:pPr>
      <w:r>
        <w:rPr>
          <w:rFonts w:hint="eastAsia"/>
          <w:color w:val="auto"/>
          <w:sz w:val="24"/>
          <w:szCs w:val="24"/>
          <w:highlight w:val="none"/>
        </w:rPr>
        <w:t>招标代理机构：中通建设工程管理有限公司</w:t>
      </w:r>
    </w:p>
    <w:p>
      <w:pPr>
        <w:pStyle w:val="2"/>
        <w:tabs>
          <w:tab w:val="left" w:pos="4368"/>
          <w:tab w:val="left" w:pos="8130"/>
        </w:tabs>
        <w:spacing w:before="302" w:line="360" w:lineRule="auto"/>
        <w:ind w:left="658" w:right="1446"/>
        <w:jc w:val="both"/>
        <w:rPr>
          <w:color w:val="auto"/>
          <w:sz w:val="24"/>
          <w:szCs w:val="24"/>
          <w:highlight w:val="none"/>
          <w:lang w:val="en-US"/>
        </w:rPr>
      </w:pPr>
      <w:r>
        <w:rPr>
          <w:rFonts w:hint="eastAsia"/>
          <w:color w:val="auto"/>
          <w:sz w:val="24"/>
          <w:szCs w:val="24"/>
          <w:highlight w:val="none"/>
        </w:rPr>
        <w:t>地</w:t>
      </w:r>
      <w:r>
        <w:rPr>
          <w:rFonts w:hint="eastAsia"/>
          <w:color w:val="auto"/>
          <w:sz w:val="24"/>
          <w:szCs w:val="24"/>
          <w:highlight w:val="none"/>
          <w:lang w:val="en-US"/>
        </w:rPr>
        <w:t xml:space="preserve">    </w:t>
      </w:r>
      <w:r>
        <w:rPr>
          <w:rFonts w:hint="eastAsia"/>
          <w:color w:val="auto"/>
          <w:sz w:val="24"/>
          <w:szCs w:val="24"/>
          <w:highlight w:val="none"/>
        </w:rPr>
        <w:t>址：</w:t>
      </w:r>
      <w:r>
        <w:rPr>
          <w:rFonts w:hint="eastAsia"/>
          <w:color w:val="auto"/>
          <w:sz w:val="24"/>
          <w:szCs w:val="24"/>
          <w:highlight w:val="none"/>
          <w:lang w:val="en-US"/>
        </w:rPr>
        <w:t>成都市高新区吉庆三路333号蜀都中心二期1栋4单元2704</w:t>
      </w:r>
    </w:p>
    <w:p>
      <w:pPr>
        <w:pStyle w:val="2"/>
        <w:tabs>
          <w:tab w:val="left" w:pos="4368"/>
          <w:tab w:val="left" w:pos="8130"/>
        </w:tabs>
        <w:spacing w:before="302"/>
        <w:ind w:left="658" w:right="1446"/>
        <w:jc w:val="both"/>
        <w:rPr>
          <w:color w:val="auto"/>
          <w:sz w:val="24"/>
          <w:szCs w:val="24"/>
          <w:highlight w:val="none"/>
          <w:lang w:val="en-US"/>
        </w:rPr>
      </w:pPr>
      <w:r>
        <w:rPr>
          <w:rFonts w:hint="eastAsia"/>
          <w:color w:val="auto"/>
          <w:sz w:val="24"/>
          <w:szCs w:val="24"/>
          <w:highlight w:val="none"/>
        </w:rPr>
        <w:t>联 系</w:t>
      </w:r>
      <w:r>
        <w:rPr>
          <w:rFonts w:hint="eastAsia"/>
          <w:color w:val="auto"/>
          <w:spacing w:val="5"/>
          <w:sz w:val="24"/>
          <w:szCs w:val="24"/>
          <w:highlight w:val="none"/>
        </w:rPr>
        <w:t xml:space="preserve"> </w:t>
      </w:r>
      <w:r>
        <w:rPr>
          <w:rFonts w:hint="eastAsia"/>
          <w:color w:val="auto"/>
          <w:sz w:val="24"/>
          <w:szCs w:val="24"/>
          <w:highlight w:val="none"/>
        </w:rPr>
        <w:t>人：</w:t>
      </w:r>
      <w:r>
        <w:rPr>
          <w:rFonts w:hint="eastAsia"/>
          <w:color w:val="auto"/>
          <w:sz w:val="24"/>
          <w:szCs w:val="24"/>
          <w:highlight w:val="none"/>
          <w:lang w:val="en-US"/>
        </w:rPr>
        <w:t>李女士</w:t>
      </w:r>
    </w:p>
    <w:p>
      <w:pPr>
        <w:pStyle w:val="2"/>
        <w:tabs>
          <w:tab w:val="left" w:pos="4368"/>
          <w:tab w:val="left" w:pos="8130"/>
        </w:tabs>
        <w:spacing w:before="302"/>
        <w:ind w:left="658" w:right="1446"/>
        <w:jc w:val="both"/>
        <w:rPr>
          <w:color w:val="auto"/>
          <w:sz w:val="24"/>
          <w:szCs w:val="24"/>
          <w:highlight w:val="none"/>
        </w:rPr>
      </w:pPr>
      <w:r>
        <w:rPr>
          <w:rFonts w:hint="eastAsia"/>
          <w:color w:val="auto"/>
          <w:sz w:val="24"/>
          <w:szCs w:val="24"/>
          <w:highlight w:val="none"/>
        </w:rPr>
        <w:t xml:space="preserve">电   </w:t>
      </w:r>
      <w:r>
        <w:rPr>
          <w:rFonts w:hint="eastAsia"/>
          <w:color w:val="auto"/>
          <w:spacing w:val="2"/>
          <w:sz w:val="24"/>
          <w:szCs w:val="24"/>
          <w:highlight w:val="none"/>
        </w:rPr>
        <w:t xml:space="preserve"> </w:t>
      </w:r>
      <w:r>
        <w:rPr>
          <w:rFonts w:hint="eastAsia"/>
          <w:color w:val="auto"/>
          <w:sz w:val="24"/>
          <w:szCs w:val="24"/>
          <w:highlight w:val="none"/>
        </w:rPr>
        <w:t>话：028-83226053</w:t>
      </w:r>
      <w:bookmarkStart w:id="17" w:name="_Toc13378"/>
    </w:p>
    <w:p>
      <w:pPr>
        <w:widowControl/>
        <w:autoSpaceDE/>
        <w:autoSpaceDN/>
        <w:rPr>
          <w:rFonts w:cs="Microsoft JhengHei" w:asciiTheme="majorEastAsia" w:hAnsiTheme="majorEastAsia" w:eastAsiaTheme="majorEastAsia"/>
          <w:b/>
          <w:bCs/>
          <w:color w:val="auto"/>
          <w:sz w:val="44"/>
          <w:szCs w:val="44"/>
          <w:highlight w:val="none"/>
        </w:rPr>
      </w:pPr>
      <w:r>
        <w:rPr>
          <w:rFonts w:asciiTheme="majorEastAsia" w:hAnsiTheme="majorEastAsia" w:eastAsiaTheme="majorEastAsia"/>
          <w:color w:val="auto"/>
          <w:highlight w:val="none"/>
        </w:rPr>
        <w:br w:type="page"/>
      </w:r>
    </w:p>
    <w:p>
      <w:pPr>
        <w:pStyle w:val="3"/>
        <w:spacing w:line="675" w:lineRule="exact"/>
        <w:rPr>
          <w:rFonts w:asciiTheme="majorEastAsia" w:hAnsiTheme="majorEastAsia" w:eastAsiaTheme="majorEastAsia"/>
          <w:color w:val="auto"/>
          <w:highlight w:val="none"/>
          <w:lang w:val="en-US"/>
        </w:rPr>
      </w:pPr>
      <w:bookmarkStart w:id="18" w:name="_Toc72847672"/>
      <w:r>
        <w:rPr>
          <w:rFonts w:asciiTheme="majorEastAsia" w:hAnsiTheme="majorEastAsia" w:eastAsiaTheme="majorEastAsia"/>
          <w:color w:val="auto"/>
          <w:highlight w:val="none"/>
        </w:rPr>
        <w:t>第二章投标人须知</w:t>
      </w:r>
      <w:bookmarkEnd w:id="17"/>
      <w:bookmarkEnd w:id="18"/>
    </w:p>
    <w:p>
      <w:pPr>
        <w:ind w:left="240"/>
        <w:jc w:val="center"/>
        <w:rPr>
          <w:rFonts w:ascii="Microsoft JhengHei" w:eastAsia="Microsoft JhengHei"/>
          <w:b/>
          <w:color w:val="auto"/>
          <w:sz w:val="32"/>
          <w:highlight w:val="none"/>
        </w:rPr>
      </w:pPr>
      <w:bookmarkStart w:id="19" w:name="_Toc26148_WPSOffice_Level2"/>
      <w:r>
        <w:rPr>
          <w:rFonts w:hint="eastAsia" w:ascii="Microsoft JhengHei" w:eastAsia="Microsoft JhengHei"/>
          <w:b/>
          <w:color w:val="auto"/>
          <w:sz w:val="32"/>
          <w:highlight w:val="none"/>
        </w:rPr>
        <w:t>投标人须知前附表</w:t>
      </w:r>
      <w:bookmarkEnd w:id="19"/>
    </w:p>
    <w:p>
      <w:pPr>
        <w:rPr>
          <w:color w:val="auto"/>
          <w:highlight w:val="none"/>
        </w:rPr>
      </w:pPr>
    </w:p>
    <w:tbl>
      <w:tblPr>
        <w:tblStyle w:val="24"/>
        <w:tblW w:w="9854" w:type="dxa"/>
        <w:tblInd w:w="0" w:type="dxa"/>
        <w:tblLayout w:type="fixed"/>
        <w:tblCellMar>
          <w:top w:w="0" w:type="dxa"/>
          <w:left w:w="108" w:type="dxa"/>
          <w:bottom w:w="0" w:type="dxa"/>
          <w:right w:w="108" w:type="dxa"/>
        </w:tblCellMar>
      </w:tblPr>
      <w:tblGrid>
        <w:gridCol w:w="1165"/>
        <w:gridCol w:w="3650"/>
        <w:gridCol w:w="5039"/>
      </w:tblGrid>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highlight w:val="none"/>
              </w:rPr>
            </w:pPr>
            <w:r>
              <w:rPr>
                <w:b/>
                <w:color w:val="auto"/>
                <w:highlight w:val="none"/>
              </w:rPr>
              <w:t>条款号</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highlight w:val="none"/>
              </w:rPr>
            </w:pPr>
            <w:r>
              <w:rPr>
                <w:b/>
                <w:color w:val="auto"/>
                <w:highlight w:val="none"/>
              </w:rPr>
              <w:t>条  款  名  称</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highlight w:val="none"/>
              </w:rPr>
            </w:pPr>
            <w:r>
              <w:rPr>
                <w:b/>
                <w:color w:val="auto"/>
                <w:highlight w:val="none"/>
              </w:rPr>
              <w:t>编  列  内  容</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招标人</w:t>
            </w:r>
          </w:p>
        </w:tc>
        <w:tc>
          <w:tcPr>
            <w:tcW w:w="5039" w:type="dxa"/>
            <w:tcBorders>
              <w:top w:val="single" w:color="auto" w:sz="4" w:space="0"/>
              <w:left w:val="single" w:color="auto" w:sz="4" w:space="0"/>
              <w:bottom w:val="single" w:color="auto" w:sz="4" w:space="0"/>
              <w:right w:val="single" w:color="auto" w:sz="4" w:space="0"/>
            </w:tcBorders>
            <w:vAlign w:val="center"/>
          </w:tcPr>
          <w:p>
            <w:pPr>
              <w:jc w:val="both"/>
              <w:rPr>
                <w:color w:val="auto"/>
                <w:sz w:val="21"/>
                <w:szCs w:val="21"/>
                <w:highlight w:val="none"/>
              </w:rPr>
            </w:pPr>
            <w:r>
              <w:rPr>
                <w:color w:val="auto"/>
                <w:sz w:val="21"/>
                <w:szCs w:val="21"/>
                <w:highlight w:val="none"/>
              </w:rPr>
              <w:t>名称：</w:t>
            </w:r>
            <w:r>
              <w:rPr>
                <w:rFonts w:hint="eastAsia"/>
                <w:color w:val="auto"/>
                <w:sz w:val="21"/>
                <w:szCs w:val="21"/>
                <w:highlight w:val="none"/>
              </w:rPr>
              <w:t>四川都金山地轨道交通有限责任公司</w:t>
            </w:r>
          </w:p>
          <w:p>
            <w:pPr>
              <w:spacing w:line="440" w:lineRule="exact"/>
              <w:rPr>
                <w:color w:val="auto"/>
                <w:sz w:val="21"/>
                <w:szCs w:val="21"/>
                <w:highlight w:val="none"/>
              </w:rPr>
            </w:pPr>
            <w:r>
              <w:rPr>
                <w:color w:val="auto"/>
                <w:sz w:val="21"/>
                <w:szCs w:val="21"/>
                <w:highlight w:val="none"/>
              </w:rPr>
              <w:t>地址：</w:t>
            </w:r>
            <w:r>
              <w:rPr>
                <w:rFonts w:hint="eastAsia"/>
                <w:color w:val="auto"/>
                <w:sz w:val="21"/>
                <w:szCs w:val="21"/>
                <w:highlight w:val="none"/>
              </w:rPr>
              <w:t>成都市锦江区三色路</w:t>
            </w:r>
            <w:r>
              <w:rPr>
                <w:color w:val="auto"/>
                <w:sz w:val="21"/>
                <w:szCs w:val="21"/>
                <w:highlight w:val="none"/>
              </w:rPr>
              <w:t>163号银海芯座15楼</w:t>
            </w:r>
          </w:p>
          <w:p>
            <w:pPr>
              <w:spacing w:line="440" w:lineRule="exact"/>
              <w:rPr>
                <w:color w:val="auto"/>
                <w:sz w:val="21"/>
                <w:szCs w:val="21"/>
                <w:highlight w:val="none"/>
              </w:rPr>
            </w:pPr>
            <w:r>
              <w:rPr>
                <w:color w:val="auto"/>
                <w:sz w:val="21"/>
                <w:szCs w:val="21"/>
                <w:highlight w:val="none"/>
              </w:rPr>
              <w:t>联系人：</w:t>
            </w:r>
            <w:r>
              <w:rPr>
                <w:rFonts w:hint="eastAsia"/>
                <w:color w:val="auto"/>
                <w:sz w:val="21"/>
                <w:szCs w:val="21"/>
                <w:highlight w:val="none"/>
              </w:rPr>
              <w:t>王女士</w:t>
            </w:r>
          </w:p>
          <w:p>
            <w:pPr>
              <w:spacing w:line="440" w:lineRule="exact"/>
              <w:rPr>
                <w:color w:val="auto"/>
                <w:sz w:val="21"/>
                <w:szCs w:val="21"/>
                <w:highlight w:val="none"/>
              </w:rPr>
            </w:pPr>
            <w:r>
              <w:rPr>
                <w:color w:val="auto"/>
                <w:sz w:val="21"/>
                <w:szCs w:val="21"/>
                <w:highlight w:val="none"/>
              </w:rPr>
              <w:t>电话：028-67157291</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招标代理机构</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color w:val="auto"/>
                <w:sz w:val="21"/>
                <w:szCs w:val="21"/>
                <w:highlight w:val="none"/>
              </w:rPr>
              <w:t>名称：</w:t>
            </w:r>
            <w:r>
              <w:rPr>
                <w:rFonts w:hint="eastAsia"/>
                <w:color w:val="auto"/>
                <w:sz w:val="21"/>
                <w:szCs w:val="21"/>
                <w:highlight w:val="none"/>
              </w:rPr>
              <w:t>中通建设工程</w:t>
            </w:r>
            <w:r>
              <w:rPr>
                <w:rFonts w:hint="eastAsia"/>
                <w:color w:val="auto"/>
                <w:sz w:val="21"/>
                <w:szCs w:val="21"/>
                <w:highlight w:val="none"/>
                <w:lang w:val="en-US"/>
              </w:rPr>
              <w:t>管</w:t>
            </w:r>
            <w:r>
              <w:rPr>
                <w:rFonts w:hint="eastAsia"/>
                <w:color w:val="auto"/>
                <w:sz w:val="21"/>
                <w:szCs w:val="21"/>
                <w:highlight w:val="none"/>
              </w:rPr>
              <w:t>理有限公司</w:t>
            </w:r>
          </w:p>
          <w:p>
            <w:pPr>
              <w:spacing w:line="440" w:lineRule="exact"/>
              <w:rPr>
                <w:rFonts w:ascii="Times New Roman"/>
                <w:color w:val="auto"/>
                <w:sz w:val="21"/>
                <w:szCs w:val="21"/>
                <w:highlight w:val="none"/>
                <w:lang w:val="en-US"/>
              </w:rPr>
            </w:pPr>
            <w:r>
              <w:rPr>
                <w:color w:val="auto"/>
                <w:sz w:val="21"/>
                <w:szCs w:val="21"/>
                <w:highlight w:val="none"/>
              </w:rPr>
              <w:t>地址：</w:t>
            </w:r>
            <w:r>
              <w:rPr>
                <w:rFonts w:hint="eastAsia"/>
                <w:color w:val="auto"/>
                <w:sz w:val="21"/>
                <w:szCs w:val="21"/>
                <w:highlight w:val="none"/>
                <w:lang w:val="en-US"/>
              </w:rPr>
              <w:t>成都市高新区吉庆三路333号蜀都中心二期1栋4单元2704</w:t>
            </w:r>
          </w:p>
          <w:p>
            <w:pPr>
              <w:spacing w:line="440" w:lineRule="exact"/>
              <w:rPr>
                <w:color w:val="auto"/>
                <w:sz w:val="21"/>
                <w:szCs w:val="21"/>
                <w:highlight w:val="none"/>
                <w:lang w:val="en-US"/>
              </w:rPr>
            </w:pPr>
            <w:r>
              <w:rPr>
                <w:color w:val="auto"/>
                <w:sz w:val="21"/>
                <w:szCs w:val="21"/>
                <w:highlight w:val="none"/>
              </w:rPr>
              <w:t>联系人：</w:t>
            </w:r>
            <w:r>
              <w:rPr>
                <w:rFonts w:hint="eastAsia" w:ascii="Times New Roman"/>
                <w:color w:val="auto"/>
                <w:sz w:val="21"/>
                <w:szCs w:val="21"/>
                <w:highlight w:val="none"/>
                <w:lang w:val="en-US"/>
              </w:rPr>
              <w:t>李女士</w:t>
            </w:r>
          </w:p>
          <w:p>
            <w:pPr>
              <w:spacing w:line="440" w:lineRule="exact"/>
              <w:rPr>
                <w:color w:val="auto"/>
                <w:sz w:val="21"/>
                <w:szCs w:val="21"/>
                <w:highlight w:val="none"/>
              </w:rPr>
            </w:pPr>
            <w:r>
              <w:rPr>
                <w:color w:val="auto"/>
                <w:sz w:val="21"/>
                <w:szCs w:val="21"/>
                <w:highlight w:val="none"/>
              </w:rPr>
              <w:t>电</w:t>
            </w:r>
            <w:r>
              <w:rPr>
                <w:rFonts w:hint="eastAsia"/>
                <w:color w:val="auto"/>
                <w:sz w:val="21"/>
                <w:szCs w:val="21"/>
                <w:highlight w:val="none"/>
                <w:lang w:val="en-US"/>
              </w:rPr>
              <w:t xml:space="preserve">  </w:t>
            </w:r>
            <w:r>
              <w:rPr>
                <w:color w:val="auto"/>
                <w:sz w:val="21"/>
                <w:szCs w:val="21"/>
                <w:highlight w:val="none"/>
              </w:rPr>
              <w:t>话：</w:t>
            </w:r>
            <w:r>
              <w:rPr>
                <w:rFonts w:hint="eastAsia"/>
                <w:color w:val="auto"/>
                <w:sz w:val="21"/>
                <w:szCs w:val="21"/>
                <w:highlight w:val="none"/>
              </w:rPr>
              <w:t>028-83226053</w:t>
            </w:r>
          </w:p>
        </w:tc>
      </w:tr>
      <w:tr>
        <w:trPr>
          <w:trHeight w:val="878"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1.1.4</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项目名称</w:t>
            </w:r>
          </w:p>
        </w:tc>
        <w:tc>
          <w:tcPr>
            <w:tcW w:w="5039" w:type="dxa"/>
            <w:tcBorders>
              <w:top w:val="single" w:color="auto" w:sz="4" w:space="0"/>
              <w:left w:val="single" w:color="auto" w:sz="4" w:space="0"/>
              <w:bottom w:val="single" w:color="auto" w:sz="4" w:space="0"/>
              <w:right w:val="single" w:color="auto" w:sz="4" w:space="0"/>
            </w:tcBorders>
            <w:vAlign w:val="center"/>
          </w:tcPr>
          <w:p>
            <w:pPr>
              <w:tabs>
                <w:tab w:val="left" w:pos="1118"/>
              </w:tabs>
              <w:spacing w:before="307" w:line="360" w:lineRule="auto"/>
              <w:ind w:right="454"/>
              <w:rPr>
                <w:color w:val="auto"/>
                <w:spacing w:val="-1"/>
                <w:sz w:val="28"/>
                <w:highlight w:val="none"/>
                <w:lang w:val="en-US"/>
              </w:rPr>
            </w:pPr>
            <w:r>
              <w:rPr>
                <w:rFonts w:hint="eastAsia"/>
                <w:color w:val="auto"/>
                <w:sz w:val="21"/>
                <w:szCs w:val="21"/>
                <w:highlight w:val="none"/>
                <w:lang w:val="en-US"/>
              </w:rPr>
              <w:t>四川都金山地轨道交通有限责任公司</w:t>
            </w:r>
            <w:r>
              <w:rPr>
                <w:rFonts w:hint="eastAsia"/>
                <w:color w:val="auto"/>
                <w:sz w:val="21"/>
                <w:szCs w:val="21"/>
                <w:highlight w:val="none"/>
                <w:lang w:val="en-US" w:eastAsia="zh-CN"/>
              </w:rPr>
              <w:t>物业</w:t>
            </w:r>
            <w:r>
              <w:rPr>
                <w:rFonts w:hint="eastAsia"/>
                <w:color w:val="auto"/>
                <w:sz w:val="21"/>
                <w:szCs w:val="21"/>
                <w:highlight w:val="none"/>
                <w:lang w:val="en-US"/>
              </w:rPr>
              <w:t>服务项目</w:t>
            </w:r>
          </w:p>
        </w:tc>
      </w:tr>
      <w:tr>
        <w:trPr>
          <w:trHeight w:val="61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1.1.5</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项目</w:t>
            </w:r>
            <w:r>
              <w:rPr>
                <w:color w:val="auto"/>
                <w:sz w:val="21"/>
                <w:szCs w:val="21"/>
                <w:highlight w:val="none"/>
              </w:rPr>
              <w:t>地点</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lang w:val="en-US"/>
              </w:rPr>
              <w:t>都江堰市观景路</w:t>
            </w:r>
            <w:r>
              <w:rPr>
                <w:color w:val="auto"/>
                <w:sz w:val="21"/>
                <w:szCs w:val="21"/>
                <w:highlight w:val="none"/>
                <w:lang w:val="en-US"/>
              </w:rPr>
              <w:t>833号</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1.2.1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资金来源</w:t>
            </w:r>
            <w:r>
              <w:rPr>
                <w:rFonts w:hint="eastAsia"/>
                <w:color w:val="auto"/>
                <w:sz w:val="21"/>
                <w:szCs w:val="21"/>
                <w:highlight w:val="none"/>
              </w:rPr>
              <w:t>及比例</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lang w:val="en-US"/>
              </w:rPr>
              <w:t>来源：业主自筹；比例：100%</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1.2.</w:t>
            </w:r>
            <w:r>
              <w:rPr>
                <w:rFonts w:hint="eastAsia"/>
                <w:color w:val="auto"/>
                <w:sz w:val="21"/>
                <w:szCs w:val="21"/>
                <w:highlight w:val="none"/>
              </w:rPr>
              <w:t>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资金</w:t>
            </w:r>
            <w:r>
              <w:rPr>
                <w:color w:val="auto"/>
                <w:sz w:val="21"/>
                <w:szCs w:val="21"/>
                <w:highlight w:val="none"/>
              </w:rPr>
              <w:t>落实情况</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lang w:val="en-US"/>
              </w:rPr>
              <w:t>已落实</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w:t>
            </w:r>
            <w:r>
              <w:rPr>
                <w:rFonts w:hint="eastAsia"/>
                <w:color w:val="auto"/>
                <w:sz w:val="21"/>
                <w:szCs w:val="21"/>
                <w:highlight w:val="none"/>
              </w:rPr>
              <w:t>3</w:t>
            </w:r>
            <w:r>
              <w:rPr>
                <w:color w:val="auto"/>
                <w:sz w:val="21"/>
                <w:szCs w:val="21"/>
                <w:highlight w:val="none"/>
              </w:rPr>
              <w:t>.1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招标范围</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color w:val="auto"/>
                <w:sz w:val="21"/>
                <w:szCs w:val="21"/>
                <w:highlight w:val="none"/>
                <w:lang w:val="en-US"/>
              </w:rPr>
            </w:pPr>
            <w:r>
              <w:rPr>
                <w:rFonts w:hint="eastAsia"/>
                <w:color w:val="auto"/>
                <w:sz w:val="21"/>
                <w:szCs w:val="21"/>
                <w:highlight w:val="none"/>
                <w:lang w:val="en-US"/>
              </w:rPr>
              <w:t>四川都金山地轨道交通有限责任公司</w:t>
            </w:r>
            <w:r>
              <w:rPr>
                <w:rFonts w:hint="eastAsia"/>
                <w:color w:val="auto"/>
                <w:sz w:val="21"/>
                <w:szCs w:val="21"/>
                <w:highlight w:val="none"/>
                <w:lang w:val="en-US" w:eastAsia="zh-CN"/>
              </w:rPr>
              <w:t>物业</w:t>
            </w:r>
            <w:r>
              <w:rPr>
                <w:rFonts w:hint="eastAsia"/>
                <w:color w:val="auto"/>
                <w:sz w:val="21"/>
                <w:szCs w:val="21"/>
                <w:highlight w:val="none"/>
                <w:lang w:val="en-US"/>
              </w:rPr>
              <w:t>服务，包括：后勤管理、前台客服接待及会务服务、食堂服务、小车班驾驶服务。</w:t>
            </w:r>
          </w:p>
        </w:tc>
      </w:tr>
      <w:tr>
        <w:trPr>
          <w:trHeight w:val="53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1.3.</w:t>
            </w:r>
            <w:r>
              <w:rPr>
                <w:rFonts w:hint="eastAsia"/>
                <w:color w:val="auto"/>
                <w:sz w:val="21"/>
                <w:szCs w:val="21"/>
                <w:highlight w:val="none"/>
              </w:rPr>
              <w:t>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lang w:val="en-US"/>
              </w:rPr>
              <w:t>服务期限</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lang w:val="en-US"/>
              </w:rPr>
              <w:t>本次物业管理服务的合同有效期为合同签订之日起一年。如遇上级政策调整，合同可随时终止。</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1.4.1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投标人资质条件、能力、信誉</w:t>
            </w:r>
          </w:p>
        </w:tc>
        <w:tc>
          <w:tcPr>
            <w:tcW w:w="5039"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color w:val="auto"/>
                <w:highlight w:val="none"/>
                <w:lang w:val="en-US"/>
              </w:rPr>
            </w:pPr>
            <w:r>
              <w:rPr>
                <w:color w:val="auto"/>
                <w:highlight w:val="none"/>
                <w:lang w:val="en-US"/>
              </w:rPr>
              <w:t>1</w:t>
            </w:r>
            <w:r>
              <w:rPr>
                <w:rFonts w:hint="eastAsia"/>
                <w:color w:val="auto"/>
                <w:highlight w:val="none"/>
                <w:lang w:val="en-US"/>
              </w:rPr>
              <w:t>．具有独立法人资格，提供有效的营业执照、基本账户开户许可证或基本存款账户信息</w:t>
            </w:r>
            <w:r>
              <w:rPr>
                <w:color w:val="auto"/>
                <w:highlight w:val="none"/>
                <w:lang w:val="en-US"/>
              </w:rPr>
              <w:t>。</w:t>
            </w:r>
          </w:p>
          <w:p>
            <w:pPr>
              <w:pStyle w:val="2"/>
              <w:spacing w:line="360" w:lineRule="auto"/>
              <w:rPr>
                <w:color w:val="auto"/>
                <w:highlight w:val="none"/>
                <w:lang w:val="en-US"/>
              </w:rPr>
            </w:pPr>
            <w:r>
              <w:rPr>
                <w:color w:val="auto"/>
                <w:highlight w:val="none"/>
                <w:lang w:val="en-US"/>
              </w:rPr>
              <w:t>2</w:t>
            </w:r>
            <w:r>
              <w:rPr>
                <w:rFonts w:hint="eastAsia"/>
                <w:color w:val="auto"/>
                <w:highlight w:val="none"/>
                <w:lang w:val="en-US"/>
              </w:rPr>
              <w:t>．</w:t>
            </w:r>
            <w:r>
              <w:rPr>
                <w:color w:val="auto"/>
                <w:highlight w:val="none"/>
                <w:lang w:val="en-US"/>
              </w:rPr>
              <w:t>业绩要求：</w:t>
            </w:r>
            <w:r>
              <w:rPr>
                <w:rFonts w:hint="eastAsia"/>
                <w:color w:val="auto"/>
                <w:highlight w:val="none"/>
                <w:lang w:val="en-US"/>
              </w:rPr>
              <w:t>近三年（</w:t>
            </w:r>
            <w:r>
              <w:rPr>
                <w:color w:val="auto"/>
                <w:highlight w:val="none"/>
                <w:lang w:val="en-US"/>
              </w:rPr>
              <w:t>201</w:t>
            </w:r>
            <w:r>
              <w:rPr>
                <w:rFonts w:hint="eastAsia"/>
                <w:color w:val="auto"/>
                <w:highlight w:val="none"/>
                <w:lang w:val="en-US" w:eastAsia="zh-CN"/>
              </w:rPr>
              <w:t>9</w:t>
            </w:r>
            <w:r>
              <w:rPr>
                <w:color w:val="auto"/>
                <w:highlight w:val="none"/>
                <w:lang w:val="en-US"/>
              </w:rPr>
              <w:t>年1月1日至今），至少</w:t>
            </w:r>
            <w:r>
              <w:rPr>
                <w:rFonts w:hint="eastAsia"/>
                <w:color w:val="auto"/>
                <w:highlight w:val="none"/>
                <w:lang w:val="en-US"/>
              </w:rPr>
              <w:t>承担过</w:t>
            </w:r>
            <w:r>
              <w:rPr>
                <w:rFonts w:hint="eastAsia"/>
                <w:color w:val="auto"/>
                <w:highlight w:val="none"/>
                <w:lang w:val="en-US" w:eastAsia="zh-CN"/>
              </w:rPr>
              <w:t>1</w:t>
            </w:r>
            <w:r>
              <w:rPr>
                <w:rFonts w:hint="eastAsia"/>
                <w:color w:val="auto"/>
                <w:highlight w:val="none"/>
                <w:lang w:val="en-US"/>
              </w:rPr>
              <w:t>个</w:t>
            </w:r>
            <w:r>
              <w:rPr>
                <w:color w:val="auto"/>
                <w:highlight w:val="none"/>
                <w:lang w:val="en-US"/>
              </w:rPr>
              <w:t>单个合同额100万元及以上物业管理业绩（合同年限为多年的，每年合同额不低于100万元，合同年限为多年的视为一个业绩。以合同协议书中开始履约时间为准，合同协议书不能证明以上信息的，应附业主加盖公章的证明材料）。</w:t>
            </w:r>
          </w:p>
          <w:p>
            <w:pPr>
              <w:pStyle w:val="2"/>
              <w:spacing w:line="360" w:lineRule="auto"/>
              <w:rPr>
                <w:color w:val="auto"/>
                <w:highlight w:val="none"/>
                <w:lang w:val="en-US"/>
              </w:rPr>
            </w:pPr>
            <w:r>
              <w:rPr>
                <w:color w:val="auto"/>
                <w:highlight w:val="none"/>
                <w:lang w:val="en-US"/>
              </w:rPr>
              <w:t>3. 信誉要求：投标人（单位）或法定代表人近三年无行贿犯罪档案记录（提供书面承诺）或投标人在“信用中国”网站（http://www.creditchina.gov.cn）中未被列入失信被执行人名单（查询结果截图证明）。</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color w:val="auto"/>
                <w:sz w:val="21"/>
                <w:szCs w:val="21"/>
                <w:highlight w:val="none"/>
              </w:rPr>
              <w:t>1.4.</w:t>
            </w:r>
            <w:r>
              <w:rPr>
                <w:rFonts w:hint="eastAsia"/>
                <w:color w:val="auto"/>
                <w:sz w:val="21"/>
                <w:szCs w:val="21"/>
                <w:highlight w:val="none"/>
                <w:lang w:val="en-US"/>
              </w:rPr>
              <w:t>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是否接受联合体投标</w:t>
            </w:r>
          </w:p>
        </w:tc>
        <w:tc>
          <w:tcPr>
            <w:tcW w:w="5039"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color w:val="auto"/>
                <w:sz w:val="21"/>
                <w:szCs w:val="21"/>
                <w:highlight w:val="none"/>
              </w:rPr>
            </w:pPr>
            <w:r>
              <w:rPr>
                <w:rFonts w:hint="eastAsia" w:ascii="Times New Roman"/>
                <w:color w:val="auto"/>
                <w:sz w:val="21"/>
                <w:szCs w:val="21"/>
                <w:highlight w:val="none"/>
              </w:rPr>
              <w:t>不接受</w:t>
            </w:r>
          </w:p>
        </w:tc>
      </w:tr>
      <w:tr>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1.9.1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踏勘现场</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rPr>
              <w:t>不组织（自行踏勘的涉及的一切费用及责任，由投标人自己承担）</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1.10.1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投标预备会</w:t>
            </w:r>
          </w:p>
        </w:tc>
        <w:tc>
          <w:tcPr>
            <w:tcW w:w="5039"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color w:val="auto"/>
                <w:sz w:val="21"/>
                <w:szCs w:val="21"/>
                <w:highlight w:val="none"/>
              </w:rPr>
            </w:pPr>
            <w:r>
              <w:rPr>
                <w:rFonts w:hint="eastAsia" w:ascii="Times New Roman"/>
                <w:color w:val="auto"/>
                <w:sz w:val="21"/>
                <w:szCs w:val="21"/>
                <w:highlight w:val="none"/>
              </w:rPr>
              <w:t>不</w:t>
            </w:r>
            <w:r>
              <w:rPr>
                <w:rFonts w:ascii="Times New Roman"/>
                <w:color w:val="auto"/>
                <w:sz w:val="21"/>
                <w:szCs w:val="21"/>
                <w:highlight w:val="none"/>
              </w:rPr>
              <w:t>召开</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1.10.2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投标人</w:t>
            </w:r>
            <w:r>
              <w:rPr>
                <w:color w:val="auto"/>
                <w:sz w:val="21"/>
                <w:szCs w:val="21"/>
                <w:highlight w:val="none"/>
              </w:rPr>
              <w:t>提出问题的截止时间</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color w:val="auto"/>
                <w:sz w:val="21"/>
                <w:szCs w:val="21"/>
                <w:highlight w:val="none"/>
                <w:u w:val="single"/>
                <w:lang w:val="en-US"/>
              </w:rPr>
              <w:t>202</w:t>
            </w:r>
            <w:r>
              <w:rPr>
                <w:rFonts w:hint="eastAsia"/>
                <w:color w:val="auto"/>
                <w:sz w:val="21"/>
                <w:szCs w:val="21"/>
                <w:highlight w:val="none"/>
                <w:u w:val="single"/>
                <w:lang w:val="en-US" w:eastAsia="zh-CN"/>
              </w:rPr>
              <w:t>2</w:t>
            </w:r>
            <w:r>
              <w:rPr>
                <w:rFonts w:hint="eastAsia"/>
                <w:color w:val="auto"/>
                <w:sz w:val="21"/>
                <w:szCs w:val="21"/>
                <w:highlight w:val="none"/>
              </w:rPr>
              <w:t>年</w:t>
            </w:r>
            <w:r>
              <w:rPr>
                <w:rFonts w:hint="eastAsia"/>
                <w:color w:val="auto"/>
                <w:sz w:val="21"/>
                <w:szCs w:val="21"/>
                <w:highlight w:val="none"/>
                <w:u w:val="single"/>
                <w:lang w:val="en-US"/>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日</w:t>
            </w:r>
            <w:r>
              <w:rPr>
                <w:rFonts w:hint="eastAsia"/>
                <w:color w:val="auto"/>
                <w:sz w:val="21"/>
                <w:szCs w:val="21"/>
                <w:highlight w:val="none"/>
                <w:u w:val="single"/>
              </w:rPr>
              <w:t xml:space="preserve"> </w:t>
            </w:r>
            <w:r>
              <w:rPr>
                <w:rFonts w:hint="eastAsia"/>
                <w:color w:val="auto"/>
                <w:sz w:val="21"/>
                <w:szCs w:val="21"/>
                <w:highlight w:val="none"/>
                <w:u w:val="single"/>
                <w:lang w:val="en-US"/>
              </w:rPr>
              <w:t>12</w:t>
            </w:r>
            <w:r>
              <w:rPr>
                <w:rFonts w:hint="eastAsia"/>
                <w:color w:val="auto"/>
                <w:sz w:val="21"/>
                <w:szCs w:val="21"/>
                <w:highlight w:val="none"/>
                <w:u w:val="single"/>
              </w:rPr>
              <w:t xml:space="preserve"> </w:t>
            </w:r>
            <w:r>
              <w:rPr>
                <w:rFonts w:hint="eastAsia"/>
                <w:color w:val="auto"/>
                <w:sz w:val="21"/>
                <w:szCs w:val="21"/>
                <w:highlight w:val="none"/>
              </w:rPr>
              <w:t>时</w:t>
            </w:r>
            <w:r>
              <w:rPr>
                <w:rFonts w:hint="eastAsia"/>
                <w:color w:val="auto"/>
                <w:sz w:val="21"/>
                <w:szCs w:val="21"/>
                <w:highlight w:val="none"/>
                <w:u w:val="single"/>
              </w:rPr>
              <w:t xml:space="preserve"> </w:t>
            </w:r>
            <w:r>
              <w:rPr>
                <w:rFonts w:hint="eastAsia"/>
                <w:color w:val="auto"/>
                <w:sz w:val="21"/>
                <w:szCs w:val="21"/>
                <w:highlight w:val="none"/>
                <w:u w:val="single"/>
                <w:lang w:val="en-US"/>
              </w:rPr>
              <w:t>00</w:t>
            </w:r>
            <w:r>
              <w:rPr>
                <w:rFonts w:hint="eastAsia"/>
                <w:color w:val="auto"/>
                <w:sz w:val="21"/>
                <w:szCs w:val="21"/>
                <w:highlight w:val="none"/>
                <w:u w:val="single"/>
              </w:rPr>
              <w:t xml:space="preserve"> </w:t>
            </w:r>
            <w:r>
              <w:rPr>
                <w:rFonts w:hint="eastAsia"/>
                <w:color w:val="auto"/>
                <w:sz w:val="21"/>
                <w:szCs w:val="21"/>
                <w:highlight w:val="none"/>
              </w:rPr>
              <w:t>分（北京时间）</w:t>
            </w:r>
          </w:p>
          <w:p>
            <w:pPr>
              <w:spacing w:line="440" w:lineRule="exact"/>
              <w:rPr>
                <w:color w:val="auto"/>
                <w:sz w:val="21"/>
                <w:szCs w:val="21"/>
                <w:highlight w:val="none"/>
              </w:rPr>
            </w:pPr>
            <w:r>
              <w:rPr>
                <w:rFonts w:hint="eastAsia"/>
                <w:bCs/>
                <w:color w:val="auto"/>
                <w:kern w:val="2"/>
                <w:sz w:val="21"/>
                <w:szCs w:val="21"/>
                <w:highlight w:val="none"/>
              </w:rPr>
              <w:t>提问形式：</w:t>
            </w:r>
            <w:r>
              <w:rPr>
                <w:rFonts w:hint="eastAsia"/>
                <w:color w:val="auto"/>
                <w:kern w:val="2"/>
                <w:sz w:val="21"/>
                <w:szCs w:val="21"/>
                <w:highlight w:val="none"/>
                <w:u w:val="single"/>
              </w:rPr>
              <w:t>在提交截止时间前，投标人应将需要解答的问题以</w:t>
            </w:r>
            <w:r>
              <w:rPr>
                <w:rFonts w:hint="eastAsia"/>
                <w:bCs/>
                <w:color w:val="auto"/>
                <w:kern w:val="2"/>
                <w:sz w:val="21"/>
                <w:szCs w:val="21"/>
                <w:highlight w:val="none"/>
                <w:u w:val="single"/>
              </w:rPr>
              <w:t>书面（加盖投标人鲜章）形式</w:t>
            </w:r>
            <w:r>
              <w:rPr>
                <w:rFonts w:hint="eastAsia"/>
                <w:color w:val="auto"/>
                <w:kern w:val="2"/>
                <w:sz w:val="21"/>
                <w:szCs w:val="21"/>
                <w:highlight w:val="none"/>
                <w:u w:val="single"/>
              </w:rPr>
              <w:t>送达招标人或招标代理机构。</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w:t>
            </w:r>
            <w:r>
              <w:rPr>
                <w:rFonts w:hint="eastAsia"/>
                <w:color w:val="auto"/>
                <w:sz w:val="21"/>
                <w:szCs w:val="21"/>
                <w:highlight w:val="none"/>
              </w:rPr>
              <w:t>1.1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分包</w:t>
            </w:r>
          </w:p>
        </w:tc>
        <w:tc>
          <w:tcPr>
            <w:tcW w:w="5039"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color w:val="auto"/>
                <w:sz w:val="21"/>
                <w:szCs w:val="21"/>
                <w:highlight w:val="none"/>
                <w:lang w:val="en-US"/>
              </w:rPr>
            </w:pPr>
            <w:r>
              <w:rPr>
                <w:rFonts w:hint="eastAsia"/>
                <w:color w:val="auto"/>
                <w:sz w:val="21"/>
                <w:szCs w:val="21"/>
                <w:highlight w:val="none"/>
                <w:lang w:val="en-US"/>
              </w:rPr>
              <w:t>不允许</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1.12.3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偏差</w:t>
            </w:r>
          </w:p>
        </w:tc>
        <w:tc>
          <w:tcPr>
            <w:tcW w:w="5039" w:type="dxa"/>
            <w:tcBorders>
              <w:top w:val="single" w:color="auto" w:sz="4" w:space="0"/>
              <w:left w:val="single" w:color="auto" w:sz="4" w:space="0"/>
              <w:bottom w:val="single" w:color="auto" w:sz="4" w:space="0"/>
              <w:right w:val="single" w:color="auto" w:sz="4" w:space="0"/>
            </w:tcBorders>
            <w:vAlign w:val="center"/>
          </w:tcPr>
          <w:p>
            <w:pPr>
              <w:pStyle w:val="39"/>
              <w:spacing w:before="54"/>
              <w:rPr>
                <w:rFonts w:ascii="Times New Roman"/>
                <w:color w:val="auto"/>
                <w:sz w:val="21"/>
                <w:szCs w:val="21"/>
                <w:highlight w:val="none"/>
              </w:rPr>
            </w:pPr>
            <w:r>
              <w:rPr>
                <w:color w:val="auto"/>
                <w:sz w:val="21"/>
                <w:szCs w:val="21"/>
                <w:highlight w:val="none"/>
              </w:rPr>
              <w:t>不允许</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2.1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构成招标文件的其他</w:t>
            </w:r>
            <w:r>
              <w:rPr>
                <w:rFonts w:hint="eastAsia"/>
                <w:color w:val="auto"/>
                <w:sz w:val="21"/>
                <w:szCs w:val="21"/>
                <w:highlight w:val="none"/>
              </w:rPr>
              <w:t>资</w:t>
            </w:r>
            <w:r>
              <w:rPr>
                <w:color w:val="auto"/>
                <w:sz w:val="21"/>
                <w:szCs w:val="21"/>
                <w:highlight w:val="none"/>
              </w:rPr>
              <w:t>料</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rPr>
              <w:t>补遗、澄清、修改通知书（如果有）</w:t>
            </w:r>
          </w:p>
        </w:tc>
      </w:tr>
      <w:tr>
        <w:trPr>
          <w:trHeight w:val="4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2.2.1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投标人</w:t>
            </w:r>
            <w:r>
              <w:rPr>
                <w:color w:val="auto"/>
                <w:sz w:val="21"/>
                <w:szCs w:val="21"/>
                <w:highlight w:val="none"/>
              </w:rPr>
              <w:t>要求澄清招标文件的截止时间</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lang w:val="en-US"/>
              </w:rPr>
              <w:t>同1.10.2的要求</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2.2.2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招标文件澄清发出的形式</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rPr>
              <w:t>由招标人（招标代理机构）投标截止时间</w:t>
            </w:r>
            <w:r>
              <w:rPr>
                <w:color w:val="auto"/>
                <w:sz w:val="21"/>
                <w:szCs w:val="21"/>
                <w:highlight w:val="none"/>
              </w:rPr>
              <w:t>15日前通过</w:t>
            </w:r>
            <w:r>
              <w:rPr>
                <w:rFonts w:hint="eastAsia"/>
                <w:color w:val="auto"/>
                <w:sz w:val="21"/>
                <w:szCs w:val="21"/>
                <w:highlight w:val="none"/>
              </w:rPr>
              <w:t>电子邮件形式</w:t>
            </w:r>
            <w:r>
              <w:rPr>
                <w:color w:val="auto"/>
                <w:sz w:val="21"/>
                <w:szCs w:val="21"/>
                <w:highlight w:val="none"/>
              </w:rPr>
              <w:t>向所有投标人澄清和补遗。所有购买了招标文件的潜在投标人自行查询澄清和补遗信息，招标人不再另行通知。</w:t>
            </w:r>
          </w:p>
        </w:tc>
      </w:tr>
      <w:tr>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2.2.3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投标人</w:t>
            </w:r>
            <w:r>
              <w:rPr>
                <w:color w:val="auto"/>
                <w:sz w:val="21"/>
                <w:szCs w:val="21"/>
                <w:highlight w:val="none"/>
              </w:rPr>
              <w:t>确认收到招标文件澄清的时间</w:t>
            </w:r>
          </w:p>
        </w:tc>
        <w:tc>
          <w:tcPr>
            <w:tcW w:w="5039" w:type="dxa"/>
            <w:tcBorders>
              <w:top w:val="single" w:color="auto" w:sz="4" w:space="0"/>
              <w:left w:val="single" w:color="auto" w:sz="4" w:space="0"/>
              <w:bottom w:val="single" w:color="auto" w:sz="4" w:space="0"/>
              <w:right w:val="single" w:color="auto" w:sz="4" w:space="0"/>
            </w:tcBorders>
            <w:vAlign w:val="center"/>
          </w:tcPr>
          <w:p>
            <w:pPr>
              <w:tabs>
                <w:tab w:val="left" w:pos="292"/>
              </w:tabs>
              <w:spacing w:line="440" w:lineRule="exact"/>
              <w:rPr>
                <w:color w:val="auto"/>
                <w:sz w:val="21"/>
                <w:szCs w:val="21"/>
                <w:highlight w:val="none"/>
                <w:lang w:val="en-US"/>
              </w:rPr>
            </w:pPr>
            <w:r>
              <w:rPr>
                <w:rFonts w:hint="eastAsia"/>
                <w:color w:val="auto"/>
                <w:sz w:val="21"/>
                <w:szCs w:val="21"/>
                <w:highlight w:val="none"/>
                <w:lang w:val="en-US"/>
              </w:rPr>
              <w:t>/</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2.3.2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投标人</w:t>
            </w:r>
            <w:r>
              <w:rPr>
                <w:color w:val="auto"/>
                <w:sz w:val="21"/>
                <w:szCs w:val="21"/>
                <w:highlight w:val="none"/>
              </w:rPr>
              <w:t>确认收到招标文件修改的时间</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lang w:val="en-US"/>
              </w:rPr>
              <w:t>/</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3.1</w:t>
            </w:r>
            <w:r>
              <w:rPr>
                <w:rFonts w:hint="eastAsia"/>
                <w:color w:val="auto"/>
                <w:sz w:val="21"/>
                <w:szCs w:val="21"/>
                <w:highlight w:val="none"/>
              </w:rPr>
              <w:t>.1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构成投标文件的其他</w:t>
            </w:r>
            <w:r>
              <w:rPr>
                <w:rFonts w:hint="eastAsia"/>
                <w:color w:val="auto"/>
                <w:sz w:val="21"/>
                <w:szCs w:val="21"/>
                <w:highlight w:val="none"/>
              </w:rPr>
              <w:t>资</w:t>
            </w:r>
            <w:r>
              <w:rPr>
                <w:color w:val="auto"/>
                <w:sz w:val="21"/>
                <w:szCs w:val="21"/>
                <w:highlight w:val="none"/>
              </w:rPr>
              <w:t>料</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rPr>
              <w:t>投标人认为需要提供的其他资料。</w:t>
            </w:r>
          </w:p>
        </w:tc>
      </w:tr>
      <w:tr>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3.2.1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 xml:space="preserve"> 投标报价</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rPr>
              <w:t>投标人根据自身综合情况进行总价报价</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3.2.5</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最高投标限价</w:t>
            </w:r>
          </w:p>
        </w:tc>
        <w:tc>
          <w:tcPr>
            <w:tcW w:w="5039" w:type="dxa"/>
            <w:tcBorders>
              <w:top w:val="single" w:color="auto" w:sz="4" w:space="0"/>
              <w:left w:val="single" w:color="auto" w:sz="4" w:space="0"/>
              <w:bottom w:val="single" w:color="auto" w:sz="4" w:space="0"/>
              <w:right w:val="single" w:color="auto" w:sz="4" w:space="0"/>
            </w:tcBorders>
            <w:vAlign w:val="center"/>
          </w:tcPr>
          <w:p>
            <w:pPr>
              <w:pStyle w:val="10"/>
              <w:rPr>
                <w:rFonts w:hint="eastAsia"/>
                <w:color w:val="auto"/>
                <w:sz w:val="21"/>
                <w:szCs w:val="21"/>
                <w:highlight w:val="none"/>
                <w:lang w:val="en-US"/>
              </w:rPr>
            </w:pPr>
            <w:r>
              <w:rPr>
                <w:rFonts w:hint="eastAsia"/>
                <w:color w:val="auto"/>
                <w:sz w:val="21"/>
                <w:szCs w:val="21"/>
                <w:highlight w:val="none"/>
                <w:lang w:val="en-US" w:eastAsia="zh-CN"/>
              </w:rPr>
              <w:t>200</w:t>
            </w:r>
            <w:r>
              <w:rPr>
                <w:rFonts w:hint="eastAsia"/>
                <w:color w:val="auto"/>
                <w:sz w:val="21"/>
                <w:szCs w:val="21"/>
                <w:highlight w:val="none"/>
                <w:lang w:val="en-US"/>
              </w:rPr>
              <w:t>万元</w:t>
            </w:r>
          </w:p>
          <w:p>
            <w:pPr>
              <w:pStyle w:val="10"/>
              <w:rPr>
                <w:rFonts w:hint="eastAsia" w:eastAsia="宋体"/>
                <w:color w:val="auto"/>
                <w:sz w:val="21"/>
                <w:szCs w:val="21"/>
                <w:highlight w:val="none"/>
                <w:lang w:val="en-US" w:eastAsia="zh-CN"/>
              </w:rPr>
            </w:pPr>
            <w:r>
              <w:rPr>
                <w:rFonts w:hint="eastAsia"/>
                <w:color w:val="auto"/>
                <w:sz w:val="21"/>
                <w:szCs w:val="21"/>
                <w:highlight w:val="none"/>
                <w:lang w:val="en-US" w:eastAsia="zh-CN"/>
              </w:rPr>
              <w:t>（都金</w:t>
            </w:r>
            <w:r>
              <w:rPr>
                <w:rFonts w:hint="eastAsia"/>
                <w:color w:val="auto"/>
                <w:highlight w:val="none"/>
                <w:lang w:val="en-US" w:eastAsia="zh-CN"/>
              </w:rPr>
              <w:t>含税暂定总价1949583.14元，据实结算。</w:t>
            </w:r>
            <w:r>
              <w:rPr>
                <w:rFonts w:hint="eastAsia"/>
                <w:color w:val="auto"/>
                <w:sz w:val="21"/>
                <w:szCs w:val="21"/>
                <w:highlight w:val="none"/>
                <w:lang w:val="en-US" w:eastAsia="zh-CN"/>
              </w:rPr>
              <w:t>）</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3.3</w:t>
            </w:r>
            <w:r>
              <w:rPr>
                <w:rFonts w:hint="eastAsia"/>
                <w:color w:val="auto"/>
                <w:sz w:val="21"/>
                <w:szCs w:val="21"/>
                <w:highlight w:val="none"/>
              </w:rPr>
              <w:t>.1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投标有效期</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r>
              <w:rPr>
                <w:rFonts w:hint="eastAsia"/>
                <w:color w:val="auto"/>
                <w:sz w:val="21"/>
                <w:szCs w:val="21"/>
                <w:highlight w:val="none"/>
              </w:rPr>
              <w:t>从投标截止之日起：</w:t>
            </w:r>
            <w:r>
              <w:rPr>
                <w:rFonts w:hint="eastAsia"/>
                <w:color w:val="auto"/>
                <w:sz w:val="21"/>
                <w:szCs w:val="21"/>
                <w:highlight w:val="none"/>
                <w:u w:val="single"/>
                <w:lang w:val="en-US"/>
              </w:rPr>
              <w:t>90</w:t>
            </w:r>
            <w:r>
              <w:rPr>
                <w:rFonts w:hint="eastAsia"/>
                <w:color w:val="auto"/>
                <w:sz w:val="21"/>
                <w:szCs w:val="21"/>
                <w:highlight w:val="none"/>
              </w:rPr>
              <w:t>日</w:t>
            </w:r>
          </w:p>
        </w:tc>
      </w:tr>
      <w:tr>
        <w:trPr>
          <w:trHeight w:val="268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3.4.1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投标保证金</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kern w:val="2"/>
                <w:sz w:val="21"/>
                <w:szCs w:val="21"/>
                <w:highlight w:val="none"/>
              </w:rPr>
            </w:pPr>
            <w:r>
              <w:rPr>
                <w:rFonts w:hint="eastAsia"/>
                <w:color w:val="auto"/>
                <w:kern w:val="2"/>
                <w:sz w:val="21"/>
                <w:szCs w:val="21"/>
                <w:highlight w:val="none"/>
              </w:rPr>
              <w:t>投标保证金金额：人民币</w:t>
            </w:r>
            <w:r>
              <w:rPr>
                <w:color w:val="auto"/>
                <w:kern w:val="2"/>
                <w:sz w:val="21"/>
                <w:szCs w:val="21"/>
                <w:highlight w:val="none"/>
              </w:rPr>
              <w:t xml:space="preserve"> </w:t>
            </w:r>
            <w:r>
              <w:rPr>
                <w:color w:val="auto"/>
                <w:kern w:val="2"/>
                <w:sz w:val="21"/>
                <w:szCs w:val="21"/>
                <w:highlight w:val="none"/>
                <w:u w:val="single"/>
              </w:rPr>
              <w:t xml:space="preserve"> 2 </w:t>
            </w:r>
            <w:r>
              <w:rPr>
                <w:rFonts w:hint="eastAsia"/>
                <w:color w:val="auto"/>
                <w:kern w:val="2"/>
                <w:sz w:val="21"/>
                <w:szCs w:val="21"/>
                <w:highlight w:val="none"/>
              </w:rPr>
              <w:t>万元</w:t>
            </w:r>
          </w:p>
          <w:p>
            <w:pPr>
              <w:spacing w:line="360" w:lineRule="auto"/>
              <w:rPr>
                <w:color w:val="auto"/>
                <w:kern w:val="2"/>
                <w:sz w:val="21"/>
                <w:szCs w:val="21"/>
                <w:highlight w:val="none"/>
              </w:rPr>
            </w:pPr>
            <w:r>
              <w:rPr>
                <w:rFonts w:hint="eastAsia"/>
                <w:color w:val="auto"/>
                <w:kern w:val="2"/>
                <w:sz w:val="21"/>
                <w:szCs w:val="21"/>
                <w:highlight w:val="none"/>
              </w:rPr>
              <w:t>投标保证金的缴纳方式：银行转账或银行保函。</w:t>
            </w:r>
          </w:p>
          <w:p>
            <w:pPr>
              <w:spacing w:line="360" w:lineRule="auto"/>
              <w:rPr>
                <w:color w:val="auto"/>
                <w:kern w:val="2"/>
                <w:sz w:val="21"/>
                <w:szCs w:val="21"/>
                <w:highlight w:val="none"/>
              </w:rPr>
            </w:pPr>
            <w:r>
              <w:rPr>
                <w:rFonts w:hint="eastAsia"/>
                <w:color w:val="auto"/>
                <w:kern w:val="2"/>
                <w:sz w:val="21"/>
                <w:szCs w:val="21"/>
                <w:highlight w:val="none"/>
              </w:rPr>
              <w:t>（1）银行转账形式的投标保证金必须通过投标人的基本帐户以银行转帐方式缴纳，应在投标截止时间前1个工作日1</w:t>
            </w:r>
            <w:r>
              <w:rPr>
                <w:color w:val="auto"/>
                <w:kern w:val="2"/>
                <w:sz w:val="21"/>
                <w:szCs w:val="21"/>
                <w:highlight w:val="none"/>
              </w:rPr>
              <w:t>6</w:t>
            </w:r>
            <w:r>
              <w:rPr>
                <w:rFonts w:hint="eastAsia"/>
                <w:color w:val="auto"/>
                <w:kern w:val="2"/>
                <w:sz w:val="21"/>
                <w:szCs w:val="21"/>
                <w:highlight w:val="none"/>
              </w:rPr>
              <w:t>:</w:t>
            </w:r>
            <w:r>
              <w:rPr>
                <w:color w:val="auto"/>
                <w:kern w:val="2"/>
                <w:sz w:val="21"/>
                <w:szCs w:val="21"/>
                <w:highlight w:val="none"/>
              </w:rPr>
              <w:t>00</w:t>
            </w:r>
            <w:r>
              <w:rPr>
                <w:rFonts w:hint="eastAsia"/>
                <w:color w:val="auto"/>
                <w:kern w:val="2"/>
                <w:sz w:val="21"/>
                <w:szCs w:val="21"/>
                <w:highlight w:val="none"/>
              </w:rPr>
              <w:t>时前到达以下账户：</w:t>
            </w:r>
          </w:p>
          <w:p>
            <w:pPr>
              <w:spacing w:line="360" w:lineRule="auto"/>
              <w:rPr>
                <w:color w:val="auto"/>
                <w:kern w:val="2"/>
                <w:sz w:val="21"/>
                <w:szCs w:val="21"/>
                <w:highlight w:val="none"/>
              </w:rPr>
            </w:pPr>
            <w:r>
              <w:rPr>
                <w:rFonts w:hint="eastAsia"/>
                <w:color w:val="auto"/>
                <w:kern w:val="2"/>
                <w:sz w:val="21"/>
                <w:szCs w:val="21"/>
                <w:highlight w:val="none"/>
              </w:rPr>
              <w:t>收款单位： 中通建设工程管理有限公司</w:t>
            </w:r>
            <w:r>
              <w:rPr>
                <w:rFonts w:hint="eastAsia"/>
                <w:color w:val="auto"/>
                <w:kern w:val="2"/>
                <w:sz w:val="21"/>
                <w:szCs w:val="21"/>
                <w:highlight w:val="none"/>
                <w:lang w:val="en-US" w:eastAsia="zh-CN"/>
              </w:rPr>
              <w:t>成都</w:t>
            </w:r>
            <w:r>
              <w:rPr>
                <w:rFonts w:hint="eastAsia"/>
                <w:color w:val="auto"/>
                <w:kern w:val="2"/>
                <w:sz w:val="21"/>
                <w:szCs w:val="21"/>
                <w:highlight w:val="none"/>
              </w:rPr>
              <w:t>分公司</w:t>
            </w:r>
          </w:p>
          <w:p>
            <w:pPr>
              <w:spacing w:line="360" w:lineRule="auto"/>
              <w:rPr>
                <w:rFonts w:hint="default" w:eastAsia="宋体"/>
                <w:color w:val="auto"/>
                <w:kern w:val="2"/>
                <w:sz w:val="21"/>
                <w:szCs w:val="21"/>
                <w:highlight w:val="none"/>
                <w:lang w:val="en-US" w:eastAsia="zh-CN"/>
              </w:rPr>
            </w:pPr>
            <w:r>
              <w:rPr>
                <w:rFonts w:hint="eastAsia"/>
                <w:color w:val="auto"/>
                <w:kern w:val="2"/>
                <w:sz w:val="21"/>
                <w:szCs w:val="21"/>
                <w:highlight w:val="none"/>
              </w:rPr>
              <w:t xml:space="preserve">开户银行： </w:t>
            </w:r>
            <w:r>
              <w:rPr>
                <w:rFonts w:hint="eastAsia"/>
                <w:color w:val="auto"/>
                <w:kern w:val="2"/>
                <w:sz w:val="21"/>
                <w:szCs w:val="21"/>
                <w:highlight w:val="none"/>
                <w:lang w:val="en-US" w:eastAsia="zh-CN"/>
              </w:rPr>
              <w:t>农行成都贝森南路支行</w:t>
            </w:r>
          </w:p>
          <w:p>
            <w:pPr>
              <w:spacing w:line="360" w:lineRule="auto"/>
              <w:rPr>
                <w:rFonts w:hint="default" w:eastAsia="宋体"/>
                <w:color w:val="auto"/>
                <w:kern w:val="2"/>
                <w:sz w:val="21"/>
                <w:szCs w:val="21"/>
                <w:highlight w:val="none"/>
                <w:lang w:val="en-US" w:eastAsia="zh-CN"/>
              </w:rPr>
            </w:pPr>
            <w:r>
              <w:rPr>
                <w:rFonts w:hint="eastAsia"/>
                <w:color w:val="auto"/>
                <w:kern w:val="2"/>
                <w:sz w:val="21"/>
                <w:szCs w:val="21"/>
                <w:highlight w:val="none"/>
              </w:rPr>
              <w:t xml:space="preserve">帐    号： </w:t>
            </w:r>
            <w:r>
              <w:rPr>
                <w:rFonts w:hint="eastAsia"/>
                <w:color w:val="auto"/>
                <w:kern w:val="2"/>
                <w:sz w:val="21"/>
                <w:szCs w:val="21"/>
                <w:highlight w:val="none"/>
                <w:lang w:val="en-US" w:eastAsia="zh-CN"/>
              </w:rPr>
              <w:t>22815201040010190</w:t>
            </w:r>
          </w:p>
          <w:p>
            <w:pPr>
              <w:spacing w:line="360" w:lineRule="auto"/>
              <w:rPr>
                <w:color w:val="auto"/>
                <w:kern w:val="2"/>
                <w:sz w:val="21"/>
                <w:szCs w:val="21"/>
                <w:highlight w:val="none"/>
              </w:rPr>
            </w:pPr>
            <w:r>
              <w:rPr>
                <w:rFonts w:hint="eastAsia"/>
                <w:color w:val="auto"/>
                <w:kern w:val="2"/>
                <w:sz w:val="21"/>
                <w:szCs w:val="21"/>
                <w:highlight w:val="none"/>
              </w:rPr>
              <w:t>（2）以银行保函形式提交。采用银行保函递交投标保证金的，投标人需将保函扫描件附入投标文件中，并在投标截止时间前将保函原件递交给招标人。</w:t>
            </w:r>
          </w:p>
          <w:p>
            <w:pPr>
              <w:spacing w:line="360" w:lineRule="auto"/>
              <w:rPr>
                <w:color w:val="auto"/>
                <w:sz w:val="21"/>
                <w:szCs w:val="21"/>
                <w:highlight w:val="none"/>
              </w:rPr>
            </w:pPr>
            <w:r>
              <w:rPr>
                <w:rFonts w:hint="eastAsia"/>
                <w:color w:val="auto"/>
                <w:sz w:val="21"/>
                <w:highlight w:val="none"/>
              </w:rPr>
              <w:t>注：上述内容为本项目实质性要求。其他内容：1、投标人必须按照上述交款方式及指定银行账号进行办理。若以其他交款方式(如现金存款方式)或非指定银行账号办理的一律不予接受，将被视为无效投标。2、投标人在交款时，需明确项目名称（可简写）、招标编号及包号（如有），且需写明为投标保证金或保证金。3、以保函形式提交的投标保证金，投标人应在本项目投标保证金交款截止时间前将保函原件递交至代理机构，并将保函复印件装订至投标文件中。</w:t>
            </w:r>
          </w:p>
        </w:tc>
      </w:tr>
      <w:tr>
        <w:trPr>
          <w:trHeight w:val="311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3.4.4</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其他可以不予退还投标保证金的情形</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有下列情形之一的，投标保证金将不予退还：</w:t>
            </w:r>
          </w:p>
          <w:p>
            <w:pPr>
              <w:spacing w:line="360" w:lineRule="auto"/>
              <w:rPr>
                <w:color w:val="auto"/>
                <w:sz w:val="21"/>
                <w:szCs w:val="21"/>
                <w:highlight w:val="none"/>
              </w:rPr>
            </w:pPr>
            <w:r>
              <w:rPr>
                <w:rFonts w:hint="eastAsia"/>
                <w:color w:val="auto"/>
                <w:sz w:val="21"/>
                <w:szCs w:val="21"/>
                <w:highlight w:val="none"/>
              </w:rPr>
              <w:t>（1）投标人在规定的投标有效期内撤销或修改其投标文件；</w:t>
            </w:r>
          </w:p>
          <w:p>
            <w:pPr>
              <w:spacing w:line="360" w:lineRule="auto"/>
              <w:rPr>
                <w:color w:val="auto"/>
                <w:sz w:val="21"/>
                <w:szCs w:val="21"/>
                <w:highlight w:val="none"/>
              </w:rPr>
            </w:pPr>
            <w:r>
              <w:rPr>
                <w:rFonts w:hint="eastAsia"/>
                <w:color w:val="auto"/>
                <w:sz w:val="21"/>
                <w:szCs w:val="21"/>
                <w:highlight w:val="none"/>
              </w:rPr>
              <w:t>（2）中标人在收到中标通知书后，无正当理由拒签合同协议书，或在签订合同时向招标人提出附加条件；或不按照招标文件要求提交履约保证金；</w:t>
            </w:r>
          </w:p>
          <w:p>
            <w:pPr>
              <w:spacing w:line="360" w:lineRule="auto"/>
              <w:rPr>
                <w:color w:val="auto"/>
                <w:sz w:val="21"/>
                <w:szCs w:val="21"/>
                <w:highlight w:val="none"/>
              </w:rPr>
            </w:pPr>
            <w:r>
              <w:rPr>
                <w:rFonts w:hint="eastAsia"/>
                <w:color w:val="auto"/>
                <w:sz w:val="21"/>
                <w:szCs w:val="21"/>
                <w:highlight w:val="none"/>
              </w:rPr>
              <w:t>（3）投标人在投标活动中串通投标、弄虚作假的，投标保证金也不予退还。</w:t>
            </w:r>
          </w:p>
        </w:tc>
      </w:tr>
      <w:tr>
        <w:trPr>
          <w:trHeight w:val="609"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3.5.2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近年财务状况的年份要求</w:t>
            </w:r>
          </w:p>
        </w:tc>
        <w:tc>
          <w:tcPr>
            <w:tcW w:w="5039"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lang w:val="en-US"/>
              </w:rPr>
              <w:t>不要求</w:t>
            </w:r>
          </w:p>
        </w:tc>
      </w:tr>
      <w:tr>
        <w:trPr>
          <w:trHeight w:val="688"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3.5.3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近年完成的类似项目情况的时间要求</w:t>
            </w:r>
          </w:p>
        </w:tc>
        <w:tc>
          <w:tcPr>
            <w:tcW w:w="5039"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lang w:val="en-US"/>
              </w:rPr>
            </w:pPr>
            <w:r>
              <w:rPr>
                <w:rFonts w:hint="eastAsia"/>
                <w:color w:val="auto"/>
                <w:sz w:val="21"/>
                <w:szCs w:val="21"/>
                <w:highlight w:val="none"/>
                <w:lang w:val="en-US"/>
              </w:rPr>
              <w:t>近三年（201</w:t>
            </w:r>
            <w:r>
              <w:rPr>
                <w:rFonts w:hint="eastAsia"/>
                <w:color w:val="auto"/>
                <w:sz w:val="21"/>
                <w:szCs w:val="21"/>
                <w:highlight w:val="none"/>
                <w:lang w:val="en-US" w:eastAsia="zh-CN"/>
              </w:rPr>
              <w:t>9</w:t>
            </w:r>
            <w:r>
              <w:rPr>
                <w:rFonts w:hint="eastAsia"/>
                <w:color w:val="auto"/>
                <w:sz w:val="21"/>
                <w:szCs w:val="21"/>
                <w:highlight w:val="none"/>
                <w:lang w:val="en-US"/>
              </w:rPr>
              <w:t>年1月1日至今）</w:t>
            </w:r>
          </w:p>
        </w:tc>
      </w:tr>
      <w:tr>
        <w:trPr>
          <w:trHeight w:val="62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3.5.4</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近年发生的诉讼及仲裁情况的时间要求</w:t>
            </w:r>
          </w:p>
        </w:tc>
        <w:tc>
          <w:tcPr>
            <w:tcW w:w="5039"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lang w:val="en-US"/>
              </w:rPr>
            </w:pPr>
            <w:r>
              <w:rPr>
                <w:rFonts w:hint="eastAsia"/>
                <w:color w:val="auto"/>
                <w:sz w:val="21"/>
                <w:szCs w:val="21"/>
                <w:highlight w:val="none"/>
                <w:lang w:val="en-US"/>
              </w:rPr>
              <w:t>不要求</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3.6</w:t>
            </w:r>
            <w:r>
              <w:rPr>
                <w:rFonts w:hint="eastAsia"/>
                <w:color w:val="auto"/>
                <w:sz w:val="21"/>
                <w:szCs w:val="21"/>
                <w:highlight w:val="none"/>
              </w:rPr>
              <w:t>.1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是否允许递交备选投标</w:t>
            </w:r>
            <w:r>
              <w:rPr>
                <w:color w:val="auto"/>
                <w:sz w:val="21"/>
                <w:szCs w:val="21"/>
                <w:highlight w:val="none"/>
              </w:rPr>
              <w:t>方案</w:t>
            </w:r>
          </w:p>
        </w:tc>
        <w:tc>
          <w:tcPr>
            <w:tcW w:w="5039"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color w:val="auto"/>
                <w:sz w:val="21"/>
                <w:szCs w:val="21"/>
                <w:highlight w:val="none"/>
              </w:rPr>
            </w:pPr>
            <w:r>
              <w:rPr>
                <w:rFonts w:hint="eastAsia" w:ascii="Times New Roman"/>
                <w:color w:val="auto"/>
                <w:sz w:val="21"/>
                <w:szCs w:val="21"/>
                <w:highlight w:val="none"/>
              </w:rPr>
              <w:t>不允许</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3.7.3</w:t>
            </w:r>
            <w:r>
              <w:rPr>
                <w:rFonts w:hint="eastAsia"/>
                <w:color w:val="auto"/>
                <w:sz w:val="21"/>
                <w:szCs w:val="21"/>
                <w:highlight w:val="none"/>
              </w:rPr>
              <w:t>（</w:t>
            </w:r>
            <w:r>
              <w:rPr>
                <w:rFonts w:hint="eastAsia"/>
                <w:color w:val="auto"/>
                <w:sz w:val="21"/>
                <w:szCs w:val="21"/>
                <w:highlight w:val="none"/>
                <w:lang w:val="en-US"/>
              </w:rPr>
              <w:t>1</w:t>
            </w:r>
            <w:r>
              <w:rPr>
                <w:rFonts w:hint="eastAsia"/>
                <w:color w:val="auto"/>
                <w:sz w:val="21"/>
                <w:szCs w:val="21"/>
                <w:highlight w:val="none"/>
              </w:rPr>
              <w:t>）</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签字、盖章要求</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（1）所有要求签字的地方都应用不褪色的墨水或签字笔由本人亲笔手签(包括姓和名)，不得用盖章（如签名章、签字章等）代替，也不得由他人代签。</w:t>
            </w:r>
          </w:p>
          <w:p>
            <w:pPr>
              <w:spacing w:line="360" w:lineRule="auto"/>
              <w:rPr>
                <w:color w:val="auto"/>
                <w:sz w:val="21"/>
                <w:szCs w:val="21"/>
                <w:highlight w:val="none"/>
              </w:rPr>
            </w:pPr>
            <w:r>
              <w:rPr>
                <w:rFonts w:hint="eastAsia"/>
                <w:color w:val="auto"/>
                <w:sz w:val="21"/>
                <w:szCs w:val="21"/>
                <w:highlight w:val="none"/>
              </w:rPr>
              <w:t>（2）所有要求盖章的地方都应加盖投标人单位（法定名称）章（鲜章）,不得使用专用印章（如经济合同章、投标专用章等）或下属单位印章代替</w:t>
            </w:r>
            <w:r>
              <w:rPr>
                <w:rFonts w:hint="eastAsia" w:ascii="Arial" w:hAnsi="Arial" w:cs="Arial"/>
                <w:color w:val="auto"/>
                <w:sz w:val="21"/>
                <w:szCs w:val="21"/>
                <w:highlight w:val="none"/>
              </w:rPr>
              <w:t>。</w:t>
            </w:r>
          </w:p>
          <w:p>
            <w:pPr>
              <w:spacing w:line="360" w:lineRule="auto"/>
              <w:rPr>
                <w:color w:val="auto"/>
                <w:sz w:val="21"/>
                <w:szCs w:val="21"/>
                <w:highlight w:val="none"/>
              </w:rPr>
            </w:pPr>
            <w:r>
              <w:rPr>
                <w:rFonts w:hint="eastAsia"/>
                <w:color w:val="auto"/>
                <w:sz w:val="21"/>
                <w:szCs w:val="21"/>
                <w:highlight w:val="none"/>
              </w:rPr>
              <w:t>（3）要求法定代表人或其委托代理人签字的地方，法定代表人亲自投标而不委托代理人投标的，由法定代表人签字；法定代表人授权委托代理人投标的，由委托代理人签字。</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color w:val="auto"/>
                <w:sz w:val="21"/>
                <w:szCs w:val="21"/>
                <w:highlight w:val="none"/>
              </w:rPr>
              <w:t>3.7.</w:t>
            </w:r>
            <w:r>
              <w:rPr>
                <w:rFonts w:hint="eastAsia"/>
                <w:color w:val="auto"/>
                <w:sz w:val="21"/>
                <w:szCs w:val="21"/>
                <w:highlight w:val="none"/>
                <w:lang w:val="en-US"/>
              </w:rPr>
              <w:t>3（2）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投标文件</w:t>
            </w:r>
            <w:r>
              <w:rPr>
                <w:rFonts w:hint="eastAsia"/>
                <w:color w:val="auto"/>
                <w:sz w:val="21"/>
                <w:szCs w:val="21"/>
                <w:highlight w:val="none"/>
              </w:rPr>
              <w:t>副本</w:t>
            </w:r>
            <w:r>
              <w:rPr>
                <w:color w:val="auto"/>
                <w:sz w:val="21"/>
                <w:szCs w:val="21"/>
                <w:highlight w:val="none"/>
              </w:rPr>
              <w:t>份数</w:t>
            </w:r>
            <w:r>
              <w:rPr>
                <w:rFonts w:hint="eastAsia"/>
                <w:color w:val="auto"/>
                <w:sz w:val="21"/>
                <w:szCs w:val="21"/>
                <w:highlight w:val="none"/>
              </w:rPr>
              <w:t>及其他要求</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副本</w:t>
            </w:r>
            <w:r>
              <w:rPr>
                <w:rFonts w:hint="eastAsia"/>
                <w:color w:val="auto"/>
                <w:sz w:val="21"/>
                <w:szCs w:val="21"/>
                <w:highlight w:val="none"/>
                <w:u w:val="single"/>
              </w:rPr>
              <w:t xml:space="preserve"> </w:t>
            </w:r>
            <w:r>
              <w:rPr>
                <w:rFonts w:hint="eastAsia"/>
                <w:color w:val="auto"/>
                <w:sz w:val="21"/>
                <w:szCs w:val="21"/>
                <w:highlight w:val="none"/>
                <w:u w:val="single"/>
                <w:lang w:val="en-US"/>
              </w:rPr>
              <w:t>壹</w:t>
            </w:r>
            <w:r>
              <w:rPr>
                <w:rFonts w:hint="eastAsia"/>
                <w:color w:val="auto"/>
                <w:sz w:val="21"/>
                <w:szCs w:val="21"/>
                <w:highlight w:val="none"/>
                <w:u w:val="single"/>
              </w:rPr>
              <w:t xml:space="preserve"> </w:t>
            </w:r>
            <w:r>
              <w:rPr>
                <w:rFonts w:hint="eastAsia"/>
                <w:color w:val="auto"/>
                <w:sz w:val="21"/>
                <w:szCs w:val="21"/>
                <w:highlight w:val="none"/>
              </w:rPr>
              <w:t>份，与正本一致的电子文档一份（U盘或光盘提供。</w:t>
            </w:r>
          </w:p>
          <w:p>
            <w:pPr>
              <w:spacing w:line="360" w:lineRule="auto"/>
              <w:rPr>
                <w:color w:val="auto"/>
                <w:sz w:val="21"/>
                <w:szCs w:val="21"/>
                <w:highlight w:val="none"/>
              </w:rPr>
            </w:pPr>
            <w:r>
              <w:rPr>
                <w:rFonts w:hint="eastAsia"/>
                <w:color w:val="auto"/>
                <w:sz w:val="21"/>
                <w:szCs w:val="21"/>
                <w:highlight w:val="none"/>
              </w:rPr>
              <w:t>投标文件副本应由其正本复制（复印）而成（包括证明文件）。正副本内容应一致。</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color w:val="auto"/>
                <w:sz w:val="21"/>
                <w:szCs w:val="21"/>
                <w:highlight w:val="none"/>
              </w:rPr>
              <w:t>3.7.</w:t>
            </w:r>
            <w:r>
              <w:rPr>
                <w:rFonts w:hint="eastAsia"/>
                <w:color w:val="auto"/>
                <w:sz w:val="21"/>
                <w:szCs w:val="21"/>
                <w:highlight w:val="none"/>
                <w:lang w:val="en-US"/>
              </w:rPr>
              <w:t>3（3）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shd w:val="clear" w:color="FFFFFF" w:fill="D9D9D9"/>
              </w:rPr>
            </w:pPr>
            <w:r>
              <w:rPr>
                <w:rFonts w:hint="eastAsia"/>
                <w:color w:val="auto"/>
                <w:sz w:val="21"/>
                <w:szCs w:val="21"/>
                <w:highlight w:val="none"/>
              </w:rPr>
              <w:t>装订要求</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投标文件的正本和副本一律用A4复印纸（图、表及证件可以除外）编制和复制。</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4.1.1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投标文件的包装和密封</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投标文件的正本和副本应分开包装，正本、电子文档一个包装，副本一个包装。</w:t>
            </w:r>
          </w:p>
          <w:p>
            <w:pPr>
              <w:spacing w:line="360" w:lineRule="auto"/>
              <w:rPr>
                <w:color w:val="auto"/>
                <w:sz w:val="21"/>
                <w:szCs w:val="21"/>
                <w:highlight w:val="none"/>
              </w:rPr>
            </w:pPr>
            <w:r>
              <w:rPr>
                <w:rFonts w:hint="eastAsia"/>
                <w:color w:val="auto"/>
                <w:sz w:val="21"/>
                <w:szCs w:val="21"/>
                <w:highlight w:val="none"/>
              </w:rPr>
              <w:t>每一个包装都应在其封套的封口处加贴封条，并在封套的封口处加盖投标人单位章（鲜章）。</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4.1.2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shd w:val="clear" w:color="FFFFFF" w:fill="D9D9D9"/>
              </w:rPr>
            </w:pPr>
            <w:r>
              <w:rPr>
                <w:color w:val="auto"/>
                <w:sz w:val="21"/>
                <w:szCs w:val="21"/>
                <w:highlight w:val="none"/>
              </w:rPr>
              <w:t>封套上</w:t>
            </w:r>
            <w:r>
              <w:rPr>
                <w:rFonts w:hint="eastAsia"/>
                <w:color w:val="auto"/>
                <w:sz w:val="21"/>
                <w:szCs w:val="21"/>
                <w:highlight w:val="none"/>
              </w:rPr>
              <w:t>应载明的信息</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招标人的地址：</w:t>
            </w:r>
            <w:r>
              <w:rPr>
                <w:rFonts w:hint="eastAsia"/>
                <w:color w:val="auto"/>
                <w:sz w:val="21"/>
                <w:szCs w:val="21"/>
                <w:highlight w:val="none"/>
                <w:u w:val="single"/>
              </w:rPr>
              <w:t xml:space="preserve">                           </w:t>
            </w:r>
          </w:p>
          <w:p>
            <w:pPr>
              <w:spacing w:line="360" w:lineRule="auto"/>
              <w:rPr>
                <w:color w:val="auto"/>
                <w:sz w:val="21"/>
                <w:szCs w:val="21"/>
                <w:highlight w:val="none"/>
              </w:rPr>
            </w:pPr>
            <w:r>
              <w:rPr>
                <w:rFonts w:hint="eastAsia"/>
                <w:color w:val="auto"/>
                <w:sz w:val="21"/>
                <w:szCs w:val="21"/>
                <w:highlight w:val="none"/>
              </w:rPr>
              <w:t>招标人全称：</w:t>
            </w:r>
            <w:r>
              <w:rPr>
                <w:rFonts w:hint="eastAsia"/>
                <w:color w:val="auto"/>
                <w:sz w:val="21"/>
                <w:szCs w:val="21"/>
                <w:highlight w:val="none"/>
                <w:u w:val="single"/>
              </w:rPr>
              <w:t xml:space="preserve">                             </w:t>
            </w:r>
          </w:p>
          <w:p>
            <w:pPr>
              <w:spacing w:line="360" w:lineRule="auto"/>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标段投标文件</w:t>
            </w:r>
          </w:p>
          <w:p>
            <w:pPr>
              <w:spacing w:line="360" w:lineRule="auto"/>
              <w:rPr>
                <w:color w:val="auto"/>
                <w:sz w:val="21"/>
                <w:szCs w:val="21"/>
                <w:highlight w:val="none"/>
              </w:rPr>
            </w:pPr>
            <w:r>
              <w:rPr>
                <w:rFonts w:hint="eastAsia"/>
                <w:color w:val="auto"/>
                <w:sz w:val="21"/>
                <w:szCs w:val="21"/>
                <w:highlight w:val="none"/>
              </w:rPr>
              <w:t>在</w:t>
            </w:r>
            <w:r>
              <w:rPr>
                <w:rFonts w:hint="eastAsia"/>
                <w:color w:val="auto"/>
                <w:sz w:val="21"/>
                <w:szCs w:val="21"/>
                <w:highlight w:val="none"/>
                <w:u w:val="single"/>
              </w:rPr>
              <w:t>　　　</w:t>
            </w:r>
            <w:r>
              <w:rPr>
                <w:rFonts w:hint="eastAsia"/>
                <w:color w:val="auto"/>
                <w:sz w:val="21"/>
                <w:szCs w:val="21"/>
                <w:highlight w:val="none"/>
              </w:rPr>
              <w:t>年</w:t>
            </w:r>
            <w:r>
              <w:rPr>
                <w:rFonts w:hint="eastAsia"/>
                <w:color w:val="auto"/>
                <w:sz w:val="21"/>
                <w:szCs w:val="21"/>
                <w:highlight w:val="none"/>
                <w:u w:val="single"/>
              </w:rPr>
              <w:t>　　</w:t>
            </w:r>
            <w:r>
              <w:rPr>
                <w:rFonts w:hint="eastAsia"/>
                <w:color w:val="auto"/>
                <w:sz w:val="21"/>
                <w:szCs w:val="21"/>
                <w:highlight w:val="none"/>
              </w:rPr>
              <w:t>月</w:t>
            </w:r>
            <w:r>
              <w:rPr>
                <w:rFonts w:hint="eastAsia"/>
                <w:color w:val="auto"/>
                <w:sz w:val="21"/>
                <w:szCs w:val="21"/>
                <w:highlight w:val="none"/>
                <w:u w:val="single"/>
              </w:rPr>
              <w:t>　　</w:t>
            </w:r>
            <w:r>
              <w:rPr>
                <w:rFonts w:hint="eastAsia"/>
                <w:color w:val="auto"/>
                <w:sz w:val="21"/>
                <w:szCs w:val="21"/>
                <w:highlight w:val="none"/>
              </w:rPr>
              <w:t>日</w:t>
            </w:r>
            <w:r>
              <w:rPr>
                <w:rFonts w:hint="eastAsia"/>
                <w:color w:val="auto"/>
                <w:sz w:val="21"/>
                <w:szCs w:val="21"/>
                <w:highlight w:val="none"/>
                <w:u w:val="single"/>
              </w:rPr>
              <w:t xml:space="preserve">    </w:t>
            </w:r>
            <w:r>
              <w:rPr>
                <w:rFonts w:hint="eastAsia"/>
                <w:color w:val="auto"/>
                <w:sz w:val="21"/>
                <w:szCs w:val="21"/>
                <w:highlight w:val="none"/>
              </w:rPr>
              <w:t>时</w:t>
            </w:r>
            <w:r>
              <w:rPr>
                <w:rFonts w:hint="eastAsia"/>
                <w:color w:val="auto"/>
                <w:sz w:val="21"/>
                <w:szCs w:val="21"/>
                <w:highlight w:val="none"/>
                <w:u w:val="single"/>
              </w:rPr>
              <w:t>　　</w:t>
            </w:r>
            <w:r>
              <w:rPr>
                <w:rFonts w:hint="eastAsia"/>
                <w:color w:val="auto"/>
                <w:sz w:val="21"/>
                <w:szCs w:val="21"/>
                <w:highlight w:val="none"/>
              </w:rPr>
              <w:t>分前不得开启。</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4.2.</w:t>
            </w:r>
            <w:r>
              <w:rPr>
                <w:rFonts w:hint="eastAsia"/>
                <w:color w:val="auto"/>
                <w:sz w:val="21"/>
                <w:szCs w:val="21"/>
                <w:highlight w:val="none"/>
              </w:rPr>
              <w:t>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投标截止时间</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b/>
                <w:bCs/>
                <w:color w:val="auto"/>
                <w:sz w:val="21"/>
                <w:szCs w:val="21"/>
                <w:highlight w:val="none"/>
                <w:u w:val="single"/>
              </w:rPr>
              <w:t>20</w:t>
            </w:r>
            <w:r>
              <w:rPr>
                <w:rFonts w:hint="eastAsia"/>
                <w:b/>
                <w:bCs/>
                <w:color w:val="auto"/>
                <w:sz w:val="21"/>
                <w:szCs w:val="21"/>
                <w:highlight w:val="none"/>
                <w:u w:val="single"/>
                <w:lang w:val="en-US"/>
              </w:rPr>
              <w:t>2</w:t>
            </w:r>
            <w:r>
              <w:rPr>
                <w:rFonts w:hint="eastAsia"/>
                <w:b/>
                <w:bCs/>
                <w:color w:val="auto"/>
                <w:sz w:val="21"/>
                <w:szCs w:val="21"/>
                <w:highlight w:val="none"/>
                <w:u w:val="single"/>
                <w:lang w:val="en-US" w:eastAsia="zh-CN"/>
              </w:rPr>
              <w:t>2</w:t>
            </w:r>
            <w:r>
              <w:rPr>
                <w:rFonts w:hint="eastAsia"/>
                <w:b/>
                <w:bCs/>
                <w:color w:val="auto"/>
                <w:sz w:val="21"/>
                <w:szCs w:val="21"/>
                <w:highlight w:val="none"/>
              </w:rPr>
              <w:t>年</w:t>
            </w:r>
            <w:r>
              <w:rPr>
                <w:rFonts w:hint="eastAsia"/>
                <w:b/>
                <w:bCs/>
                <w:color w:val="auto"/>
                <w:sz w:val="21"/>
                <w:szCs w:val="21"/>
                <w:highlight w:val="none"/>
                <w:u w:val="single"/>
              </w:rPr>
              <w:t xml:space="preserve"> </w:t>
            </w:r>
            <w:r>
              <w:rPr>
                <w:rFonts w:hint="eastAsia"/>
                <w:b/>
                <w:bCs/>
                <w:color w:val="auto"/>
                <w:sz w:val="21"/>
                <w:szCs w:val="21"/>
                <w:highlight w:val="none"/>
                <w:u w:val="single"/>
                <w:lang w:val="en-US"/>
              </w:rPr>
              <w:t xml:space="preserve"> </w:t>
            </w:r>
            <w:r>
              <w:rPr>
                <w:b/>
                <w:bCs/>
                <w:color w:val="auto"/>
                <w:sz w:val="21"/>
                <w:szCs w:val="21"/>
                <w:highlight w:val="none"/>
                <w:u w:val="single"/>
                <w:lang w:val="en-US"/>
              </w:rPr>
              <w:t xml:space="preserve"> </w:t>
            </w:r>
            <w:r>
              <w:rPr>
                <w:rFonts w:hint="eastAsia"/>
                <w:b/>
                <w:bCs/>
                <w:color w:val="auto"/>
                <w:sz w:val="21"/>
                <w:szCs w:val="21"/>
                <w:highlight w:val="none"/>
                <w:u w:val="single"/>
                <w:lang w:val="en-US"/>
              </w:rPr>
              <w:t xml:space="preserve"> </w:t>
            </w:r>
            <w:r>
              <w:rPr>
                <w:rFonts w:hint="eastAsia"/>
                <w:b/>
                <w:bCs/>
                <w:color w:val="auto"/>
                <w:sz w:val="21"/>
                <w:szCs w:val="21"/>
                <w:highlight w:val="none"/>
              </w:rPr>
              <w:t>月</w:t>
            </w:r>
            <w:r>
              <w:rPr>
                <w:rFonts w:hint="eastAsia"/>
                <w:b/>
                <w:bCs/>
                <w:color w:val="auto"/>
                <w:sz w:val="21"/>
                <w:szCs w:val="21"/>
                <w:highlight w:val="none"/>
                <w:u w:val="single"/>
              </w:rPr>
              <w:t xml:space="preserve"> </w:t>
            </w:r>
            <w:r>
              <w:rPr>
                <w:b/>
                <w:bCs/>
                <w:color w:val="auto"/>
                <w:sz w:val="21"/>
                <w:szCs w:val="21"/>
                <w:highlight w:val="none"/>
                <w:u w:val="single"/>
              </w:rPr>
              <w:t xml:space="preserve">  </w:t>
            </w:r>
            <w:r>
              <w:rPr>
                <w:rFonts w:hint="eastAsia"/>
                <w:b/>
                <w:bCs/>
                <w:color w:val="auto"/>
                <w:sz w:val="21"/>
                <w:szCs w:val="21"/>
                <w:highlight w:val="none"/>
                <w:u w:val="single"/>
                <w:lang w:val="en-US"/>
              </w:rPr>
              <w:t xml:space="preserve"> </w:t>
            </w:r>
            <w:r>
              <w:rPr>
                <w:rFonts w:hint="eastAsia"/>
                <w:b/>
                <w:bCs/>
                <w:color w:val="auto"/>
                <w:sz w:val="21"/>
                <w:szCs w:val="21"/>
                <w:highlight w:val="none"/>
              </w:rPr>
              <w:t>日</w:t>
            </w:r>
            <w:r>
              <w:rPr>
                <w:rFonts w:hint="eastAsia"/>
                <w:b/>
                <w:bCs/>
                <w:color w:val="auto"/>
                <w:sz w:val="21"/>
                <w:szCs w:val="21"/>
                <w:highlight w:val="none"/>
                <w:u w:val="single"/>
              </w:rPr>
              <w:t xml:space="preserve"> </w:t>
            </w:r>
            <w:r>
              <w:rPr>
                <w:b/>
                <w:bCs/>
                <w:color w:val="auto"/>
                <w:sz w:val="21"/>
                <w:szCs w:val="21"/>
                <w:highlight w:val="none"/>
                <w:u w:val="single"/>
                <w:lang w:val="en-US"/>
              </w:rPr>
              <w:t>10</w:t>
            </w:r>
            <w:r>
              <w:rPr>
                <w:rFonts w:hint="eastAsia"/>
                <w:b/>
                <w:bCs/>
                <w:color w:val="auto"/>
                <w:sz w:val="21"/>
                <w:szCs w:val="21"/>
                <w:highlight w:val="none"/>
                <w:u w:val="single"/>
              </w:rPr>
              <w:t xml:space="preserve"> </w:t>
            </w:r>
            <w:r>
              <w:rPr>
                <w:rFonts w:hint="eastAsia"/>
                <w:b/>
                <w:bCs/>
                <w:color w:val="auto"/>
                <w:sz w:val="21"/>
                <w:szCs w:val="21"/>
                <w:highlight w:val="none"/>
              </w:rPr>
              <w:t>时</w:t>
            </w:r>
            <w:r>
              <w:rPr>
                <w:rFonts w:hint="eastAsia"/>
                <w:b/>
                <w:bCs/>
                <w:color w:val="auto"/>
                <w:sz w:val="21"/>
                <w:szCs w:val="21"/>
                <w:highlight w:val="none"/>
                <w:u w:val="single"/>
              </w:rPr>
              <w:t xml:space="preserve"> </w:t>
            </w:r>
            <w:r>
              <w:rPr>
                <w:b/>
                <w:bCs/>
                <w:color w:val="auto"/>
                <w:sz w:val="21"/>
                <w:szCs w:val="21"/>
                <w:highlight w:val="none"/>
                <w:u w:val="single"/>
                <w:lang w:val="en-US"/>
              </w:rPr>
              <w:t>00</w:t>
            </w:r>
            <w:r>
              <w:rPr>
                <w:rFonts w:hint="eastAsia"/>
                <w:b/>
                <w:bCs/>
                <w:color w:val="auto"/>
                <w:sz w:val="21"/>
                <w:szCs w:val="21"/>
                <w:highlight w:val="none"/>
                <w:u w:val="single"/>
                <w:lang w:val="en-US"/>
              </w:rPr>
              <w:t xml:space="preserve"> </w:t>
            </w:r>
            <w:r>
              <w:rPr>
                <w:rFonts w:hint="eastAsia"/>
                <w:b/>
                <w:bCs/>
                <w:color w:val="auto"/>
                <w:sz w:val="21"/>
                <w:szCs w:val="21"/>
                <w:highlight w:val="none"/>
              </w:rPr>
              <w:t>分</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4.2.2</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递交投标文件地点</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lang w:val="en-US"/>
              </w:rPr>
            </w:pPr>
            <w:r>
              <w:rPr>
                <w:rFonts w:hint="eastAsia"/>
                <w:color w:val="auto"/>
                <w:kern w:val="2"/>
                <w:sz w:val="21"/>
                <w:szCs w:val="21"/>
                <w:highlight w:val="none"/>
              </w:rPr>
              <w:t>中通建设工程管理有限公司（成都市高新区吉庆三路</w:t>
            </w:r>
            <w:r>
              <w:rPr>
                <w:color w:val="auto"/>
                <w:kern w:val="2"/>
                <w:sz w:val="21"/>
                <w:szCs w:val="21"/>
                <w:highlight w:val="none"/>
              </w:rPr>
              <w:t>333号蜀都中心二期1栋4单元2704）</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4.2.</w:t>
            </w:r>
            <w:r>
              <w:rPr>
                <w:rFonts w:hint="eastAsia"/>
                <w:color w:val="auto"/>
                <w:sz w:val="21"/>
                <w:szCs w:val="21"/>
                <w:highlight w:val="none"/>
              </w:rPr>
              <w:t>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投标文件是否退还</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否</w:t>
            </w:r>
          </w:p>
        </w:tc>
      </w:tr>
      <w:tr>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5.1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开标时间和地点</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color w:val="auto"/>
                <w:sz w:val="21"/>
                <w:szCs w:val="21"/>
                <w:highlight w:val="none"/>
              </w:rPr>
              <w:t>开标时间</w:t>
            </w:r>
            <w:r>
              <w:rPr>
                <w:rFonts w:hint="eastAsia"/>
                <w:color w:val="auto"/>
                <w:sz w:val="21"/>
                <w:szCs w:val="21"/>
                <w:highlight w:val="none"/>
              </w:rPr>
              <w:t>：</w:t>
            </w:r>
            <w:r>
              <w:rPr>
                <w:color w:val="auto"/>
                <w:sz w:val="21"/>
                <w:szCs w:val="21"/>
                <w:highlight w:val="none"/>
              </w:rPr>
              <w:t>同投标截止时间</w:t>
            </w:r>
          </w:p>
          <w:p>
            <w:pPr>
              <w:spacing w:line="360" w:lineRule="auto"/>
              <w:rPr>
                <w:color w:val="auto"/>
                <w:sz w:val="21"/>
                <w:szCs w:val="21"/>
                <w:highlight w:val="none"/>
                <w:lang w:val="en-US"/>
              </w:rPr>
            </w:pPr>
            <w:r>
              <w:rPr>
                <w:color w:val="auto"/>
                <w:sz w:val="21"/>
                <w:szCs w:val="21"/>
                <w:highlight w:val="none"/>
              </w:rPr>
              <w:t>开标地点</w:t>
            </w:r>
            <w:r>
              <w:rPr>
                <w:rFonts w:hint="eastAsia"/>
                <w:color w:val="auto"/>
                <w:sz w:val="21"/>
                <w:szCs w:val="21"/>
                <w:highlight w:val="none"/>
              </w:rPr>
              <w:t>：</w:t>
            </w:r>
            <w:r>
              <w:rPr>
                <w:rFonts w:hint="eastAsia"/>
                <w:color w:val="auto"/>
                <w:sz w:val="21"/>
                <w:szCs w:val="21"/>
                <w:highlight w:val="none"/>
                <w:lang w:val="en-US"/>
              </w:rPr>
              <w:t>同递交投标文件地点</w:t>
            </w:r>
          </w:p>
        </w:tc>
      </w:tr>
      <w:tr>
        <w:trPr>
          <w:trHeight w:val="1990" w:hRule="atLeast"/>
        </w:trPr>
        <w:tc>
          <w:tcPr>
            <w:tcW w:w="1165" w:type="dxa"/>
            <w:tcBorders>
              <w:top w:val="single" w:color="auto" w:sz="4" w:space="0"/>
              <w:left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5.2</w:t>
            </w:r>
          </w:p>
        </w:tc>
        <w:tc>
          <w:tcPr>
            <w:tcW w:w="3650" w:type="dxa"/>
            <w:tcBorders>
              <w:top w:val="single" w:color="auto" w:sz="4" w:space="0"/>
              <w:left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开标程序</w:t>
            </w:r>
          </w:p>
        </w:tc>
        <w:tc>
          <w:tcPr>
            <w:tcW w:w="5039" w:type="dxa"/>
            <w:tcBorders>
              <w:top w:val="single" w:color="auto" w:sz="4" w:space="0"/>
              <w:left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（1）密封情况检查：由纪律监督人员、投标人代表检查投标文件的密封情况，并当场予以确认。当投标文件未按第4.1.1、4.1.2款密封时，将当场确认，不予开标，原封退还。</w:t>
            </w:r>
          </w:p>
          <w:p>
            <w:pPr>
              <w:spacing w:line="360" w:lineRule="auto"/>
              <w:rPr>
                <w:color w:val="auto"/>
                <w:sz w:val="21"/>
                <w:szCs w:val="21"/>
                <w:highlight w:val="none"/>
              </w:rPr>
            </w:pPr>
            <w:r>
              <w:rPr>
                <w:rFonts w:hint="eastAsia"/>
                <w:color w:val="auto"/>
                <w:sz w:val="21"/>
                <w:szCs w:val="21"/>
                <w:highlight w:val="none"/>
              </w:rPr>
              <w:t>（2）开标顺序：随机，当标段投标人少于3个（不含3个）将不予开标，原封退还。</w:t>
            </w:r>
          </w:p>
        </w:tc>
      </w:tr>
      <w:tr>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6.1.1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评标委员会的组建</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评标委员会构成：共</w:t>
            </w:r>
            <w:r>
              <w:rPr>
                <w:rFonts w:hint="eastAsia"/>
                <w:color w:val="auto"/>
                <w:sz w:val="21"/>
                <w:szCs w:val="21"/>
                <w:highlight w:val="none"/>
                <w:lang w:val="en-US" w:eastAsia="zh-CN"/>
              </w:rPr>
              <w:t>5</w:t>
            </w:r>
            <w:r>
              <w:rPr>
                <w:rFonts w:hint="eastAsia"/>
                <w:color w:val="auto"/>
                <w:sz w:val="21"/>
                <w:szCs w:val="21"/>
                <w:highlight w:val="none"/>
              </w:rPr>
              <w:t>人，其中评标专家</w:t>
            </w:r>
            <w:r>
              <w:rPr>
                <w:rFonts w:hint="eastAsia"/>
                <w:color w:val="auto"/>
                <w:sz w:val="21"/>
                <w:szCs w:val="21"/>
                <w:highlight w:val="none"/>
                <w:lang w:val="en-US" w:eastAsia="zh-CN"/>
              </w:rPr>
              <w:t>5</w:t>
            </w:r>
            <w:r>
              <w:rPr>
                <w:rFonts w:hint="eastAsia"/>
                <w:color w:val="auto"/>
                <w:sz w:val="21"/>
                <w:szCs w:val="21"/>
                <w:highlight w:val="none"/>
              </w:rPr>
              <w:t>人。</w:t>
            </w:r>
          </w:p>
          <w:p>
            <w:pPr>
              <w:spacing w:line="360" w:lineRule="auto"/>
              <w:rPr>
                <w:color w:val="auto"/>
                <w:sz w:val="21"/>
                <w:szCs w:val="21"/>
                <w:highlight w:val="none"/>
              </w:rPr>
            </w:pPr>
            <w:r>
              <w:rPr>
                <w:rFonts w:hint="eastAsia"/>
                <w:color w:val="auto"/>
                <w:sz w:val="21"/>
                <w:szCs w:val="21"/>
                <w:highlight w:val="none"/>
              </w:rPr>
              <w:t>评标专家确定方式：</w:t>
            </w:r>
            <w:r>
              <w:rPr>
                <w:rFonts w:hint="eastAsia"/>
                <w:color w:val="auto"/>
                <w:kern w:val="2"/>
                <w:sz w:val="21"/>
                <w:szCs w:val="21"/>
                <w:highlight w:val="none"/>
              </w:rPr>
              <w:t>由招标人依法组建</w:t>
            </w:r>
            <w:r>
              <w:rPr>
                <w:rFonts w:hint="eastAsia"/>
                <w:color w:val="auto"/>
                <w:sz w:val="21"/>
                <w:szCs w:val="21"/>
                <w:highlight w:val="none"/>
              </w:rPr>
              <w:t>。</w:t>
            </w:r>
          </w:p>
        </w:tc>
      </w:tr>
      <w:tr>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6</w:t>
            </w:r>
            <w:r>
              <w:rPr>
                <w:color w:val="auto"/>
                <w:sz w:val="21"/>
                <w:szCs w:val="21"/>
                <w:highlight w:val="none"/>
              </w:rPr>
              <w:t>.3.1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评分办法</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综合评估法</w:t>
            </w:r>
          </w:p>
        </w:tc>
      </w:tr>
      <w:tr>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 xml:space="preserve">6.3.2 </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评标委员会推荐中标候选人的人数</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推荐的中标候选人数：</w:t>
            </w:r>
            <w:r>
              <w:rPr>
                <w:color w:val="auto"/>
                <w:sz w:val="21"/>
                <w:szCs w:val="21"/>
                <w:highlight w:val="none"/>
              </w:rPr>
              <w:t>3名（若不足3名，则按相应数量推荐）</w:t>
            </w:r>
            <w:r>
              <w:rPr>
                <w:rFonts w:hint="eastAsia"/>
                <w:color w:val="auto"/>
                <w:sz w:val="21"/>
                <w:szCs w:val="21"/>
                <w:highlight w:val="none"/>
              </w:rPr>
              <w:t xml:space="preserve">。 </w:t>
            </w:r>
          </w:p>
        </w:tc>
      </w:tr>
      <w:tr>
        <w:trPr>
          <w:trHeight w:val="880" w:hRule="atLeast"/>
        </w:trPr>
        <w:tc>
          <w:tcPr>
            <w:tcW w:w="1165" w:type="dxa"/>
            <w:tcBorders>
              <w:top w:val="single" w:color="auto" w:sz="4" w:space="0"/>
              <w:left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7.1</w:t>
            </w:r>
          </w:p>
        </w:tc>
        <w:tc>
          <w:tcPr>
            <w:tcW w:w="3650" w:type="dxa"/>
            <w:tcBorders>
              <w:top w:val="single" w:color="auto" w:sz="4" w:space="0"/>
              <w:left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中标候选人公示媒介及期限</w:t>
            </w:r>
          </w:p>
        </w:tc>
        <w:tc>
          <w:tcPr>
            <w:tcW w:w="5039" w:type="dxa"/>
            <w:tcBorders>
              <w:top w:val="single" w:color="auto" w:sz="4" w:space="0"/>
              <w:left w:val="single" w:color="auto" w:sz="4" w:space="0"/>
              <w:right w:val="single" w:color="auto" w:sz="4" w:space="0"/>
            </w:tcBorders>
            <w:vAlign w:val="center"/>
          </w:tcPr>
          <w:p>
            <w:pPr>
              <w:spacing w:line="360" w:lineRule="auto"/>
              <w:rPr>
                <w:color w:val="auto"/>
                <w:sz w:val="21"/>
                <w:szCs w:val="21"/>
                <w:highlight w:val="none"/>
                <w:lang w:val="en-US"/>
              </w:rPr>
            </w:pPr>
            <w:r>
              <w:rPr>
                <w:rFonts w:hint="eastAsia"/>
                <w:color w:val="auto"/>
                <w:sz w:val="21"/>
                <w:szCs w:val="21"/>
                <w:highlight w:val="none"/>
              </w:rPr>
              <w:t>公示媒介：</w:t>
            </w:r>
            <w:r>
              <w:rPr>
                <w:rFonts w:hint="eastAsia"/>
                <w:color w:val="auto"/>
                <w:sz w:val="24"/>
                <w:szCs w:val="24"/>
                <w:highlight w:val="none"/>
                <w:lang w:val="en-US"/>
              </w:rPr>
              <w:t>四川蜀道新制式轨道集团有限公司官网（网址：https://www.shudaogdjt.com/</w:t>
            </w:r>
            <w:r>
              <w:rPr>
                <w:rFonts w:hint="eastAsia"/>
                <w:color w:val="auto"/>
                <w:spacing w:val="-3"/>
                <w:sz w:val="24"/>
                <w:szCs w:val="24"/>
                <w:highlight w:val="none"/>
                <w:u w:val="single"/>
              </w:rPr>
              <w:t>）</w:t>
            </w:r>
          </w:p>
          <w:p>
            <w:pPr>
              <w:spacing w:line="360" w:lineRule="auto"/>
              <w:rPr>
                <w:color w:val="auto"/>
                <w:sz w:val="21"/>
                <w:szCs w:val="21"/>
                <w:highlight w:val="none"/>
              </w:rPr>
            </w:pPr>
            <w:r>
              <w:rPr>
                <w:rFonts w:hint="eastAsia"/>
                <w:color w:val="auto"/>
                <w:sz w:val="21"/>
                <w:szCs w:val="21"/>
                <w:highlight w:val="none"/>
              </w:rPr>
              <w:t>公示期限：</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5</w:t>
            </w:r>
            <w:r>
              <w:rPr>
                <w:rFonts w:hint="eastAsia"/>
                <w:color w:val="auto"/>
                <w:sz w:val="21"/>
                <w:szCs w:val="21"/>
                <w:highlight w:val="none"/>
                <w:u w:val="single"/>
              </w:rPr>
              <w:t xml:space="preserve">  </w:t>
            </w:r>
            <w:r>
              <w:rPr>
                <w:rFonts w:hint="eastAsia"/>
                <w:color w:val="auto"/>
                <w:sz w:val="21"/>
                <w:szCs w:val="21"/>
                <w:highlight w:val="none"/>
                <w:lang w:val="en-US"/>
              </w:rPr>
              <w:t>个工作</w:t>
            </w:r>
            <w:r>
              <w:rPr>
                <w:rFonts w:hint="eastAsia"/>
                <w:color w:val="auto"/>
                <w:sz w:val="21"/>
                <w:szCs w:val="21"/>
                <w:highlight w:val="none"/>
              </w:rPr>
              <w:t>日</w:t>
            </w:r>
          </w:p>
        </w:tc>
      </w:tr>
      <w:tr>
        <w:trPr>
          <w:trHeight w:val="64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7.</w:t>
            </w:r>
            <w:r>
              <w:rPr>
                <w:rFonts w:hint="eastAsia"/>
                <w:color w:val="auto"/>
                <w:sz w:val="21"/>
                <w:szCs w:val="21"/>
                <w:highlight w:val="none"/>
              </w:rPr>
              <w:t>3</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是否授权评标委员会确定中标人</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否。</w:t>
            </w:r>
          </w:p>
          <w:p>
            <w:pPr>
              <w:spacing w:line="360" w:lineRule="auto"/>
              <w:rPr>
                <w:color w:val="auto"/>
                <w:highlight w:val="none"/>
              </w:rPr>
            </w:pPr>
            <w:r>
              <w:rPr>
                <w:rFonts w:hint="eastAsia"/>
                <w:color w:val="auto"/>
                <w:sz w:val="21"/>
                <w:szCs w:val="21"/>
                <w:highlight w:val="none"/>
              </w:rPr>
              <w:t>如果中标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7.6.1</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履约保证金</w:t>
            </w:r>
          </w:p>
        </w:tc>
        <w:tc>
          <w:tcPr>
            <w:tcW w:w="503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1"/>
                <w:szCs w:val="21"/>
                <w:highlight w:val="none"/>
              </w:rPr>
            </w:pPr>
            <w:r>
              <w:rPr>
                <w:rFonts w:hint="eastAsia"/>
                <w:color w:val="auto"/>
                <w:sz w:val="21"/>
                <w:szCs w:val="21"/>
                <w:highlight w:val="none"/>
              </w:rPr>
              <w:t>（1）履约担保的金额：合同金额的</w:t>
            </w:r>
            <w:r>
              <w:rPr>
                <w:color w:val="auto"/>
                <w:sz w:val="21"/>
                <w:szCs w:val="21"/>
                <w:highlight w:val="none"/>
                <w:u w:val="single"/>
                <w:lang w:val="en-US"/>
              </w:rPr>
              <w:t xml:space="preserve"> 5</w:t>
            </w:r>
            <w:r>
              <w:rPr>
                <w:rFonts w:hint="eastAsia"/>
                <w:color w:val="auto"/>
                <w:sz w:val="21"/>
                <w:szCs w:val="21"/>
                <w:highlight w:val="none"/>
                <w:u w:val="single"/>
                <w:lang w:val="en-US"/>
              </w:rPr>
              <w:t>%</w:t>
            </w:r>
            <w:r>
              <w:rPr>
                <w:color w:val="auto"/>
                <w:sz w:val="21"/>
                <w:szCs w:val="21"/>
                <w:highlight w:val="none"/>
                <w:u w:val="single"/>
                <w:lang w:val="en-US"/>
              </w:rPr>
              <w:t xml:space="preserve">   </w:t>
            </w:r>
            <w:r>
              <w:rPr>
                <w:rFonts w:hint="eastAsia"/>
                <w:color w:val="auto"/>
                <w:sz w:val="21"/>
                <w:szCs w:val="21"/>
                <w:highlight w:val="none"/>
              </w:rPr>
              <w:t>。</w:t>
            </w:r>
          </w:p>
          <w:p>
            <w:pPr>
              <w:spacing w:line="360" w:lineRule="auto"/>
              <w:rPr>
                <w:color w:val="auto"/>
                <w:sz w:val="21"/>
                <w:szCs w:val="21"/>
                <w:highlight w:val="none"/>
              </w:rPr>
            </w:pPr>
            <w:r>
              <w:rPr>
                <w:rFonts w:hint="eastAsia"/>
                <w:color w:val="auto"/>
                <w:sz w:val="21"/>
                <w:szCs w:val="21"/>
                <w:highlight w:val="none"/>
              </w:rPr>
              <w:t>（2）履约担保的形式：现金担保或银行保函。</w:t>
            </w:r>
          </w:p>
          <w:p>
            <w:pPr>
              <w:spacing w:line="360" w:lineRule="auto"/>
              <w:rPr>
                <w:color w:val="auto"/>
                <w:sz w:val="21"/>
                <w:szCs w:val="21"/>
                <w:highlight w:val="none"/>
              </w:rPr>
            </w:pPr>
            <w:r>
              <w:rPr>
                <w:rFonts w:hint="eastAsia"/>
                <w:color w:val="auto"/>
                <w:sz w:val="21"/>
                <w:szCs w:val="21"/>
                <w:highlight w:val="none"/>
              </w:rPr>
              <w:t>如果采用现金形式，则必须从投标人基本账户中转出。</w:t>
            </w:r>
          </w:p>
          <w:p>
            <w:pPr>
              <w:pStyle w:val="4"/>
              <w:spacing w:line="360" w:lineRule="auto"/>
              <w:ind w:left="0" w:firstLine="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ascii="宋体" w:hAnsi="宋体" w:eastAsia="宋体" w:cs="宋体"/>
                <w:b w:val="0"/>
                <w:bCs w:val="0"/>
                <w:color w:val="auto"/>
                <w:sz w:val="21"/>
                <w:szCs w:val="21"/>
                <w:highlight w:val="none"/>
              </w:rPr>
              <w:t>3）履约担保期限：自提交履约担保之日起生效，至中标人按照合同要求实施和完成本合同项目全部权利与义务时失效。</w:t>
            </w:r>
          </w:p>
          <w:p>
            <w:pPr>
              <w:rPr>
                <w:color w:val="auto"/>
                <w:highlight w:val="none"/>
              </w:rPr>
            </w:pPr>
            <w:r>
              <w:rPr>
                <w:rFonts w:hint="eastAsia"/>
                <w:color w:val="auto"/>
                <w:sz w:val="21"/>
                <w:szCs w:val="21"/>
                <w:highlight w:val="none"/>
              </w:rPr>
              <w:t>（4）中标人须在合同签订前提交履约保证金。</w:t>
            </w:r>
          </w:p>
        </w:tc>
      </w:tr>
      <w:tr>
        <w:trPr>
          <w:trHeight w:val="61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9</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color w:val="auto"/>
                <w:sz w:val="21"/>
                <w:szCs w:val="21"/>
                <w:highlight w:val="none"/>
              </w:rPr>
              <w:t>是否采用电子招标投标</w:t>
            </w:r>
          </w:p>
        </w:tc>
        <w:tc>
          <w:tcPr>
            <w:tcW w:w="5039" w:type="dxa"/>
            <w:tcBorders>
              <w:top w:val="single" w:color="auto" w:sz="4" w:space="0"/>
              <w:left w:val="single" w:color="auto" w:sz="4" w:space="0"/>
              <w:bottom w:val="single" w:color="auto" w:sz="4" w:space="0"/>
              <w:right w:val="single" w:color="auto" w:sz="4" w:space="0"/>
            </w:tcBorders>
            <w:vAlign w:val="center"/>
          </w:tcPr>
          <w:p>
            <w:pPr>
              <w:pStyle w:val="39"/>
              <w:spacing w:before="27"/>
              <w:rPr>
                <w:color w:val="auto"/>
                <w:sz w:val="21"/>
                <w:szCs w:val="21"/>
                <w:highlight w:val="none"/>
              </w:rPr>
            </w:pPr>
            <w:r>
              <w:rPr>
                <w:color w:val="auto"/>
                <w:sz w:val="21"/>
                <w:szCs w:val="21"/>
                <w:highlight w:val="none"/>
              </w:rPr>
              <w:t>否</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10</w:t>
            </w:r>
          </w:p>
        </w:tc>
        <w:tc>
          <w:tcPr>
            <w:tcW w:w="3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rPr>
            </w:pPr>
            <w:r>
              <w:rPr>
                <w:rFonts w:hint="eastAsia"/>
                <w:color w:val="auto"/>
                <w:sz w:val="21"/>
                <w:szCs w:val="21"/>
                <w:highlight w:val="none"/>
              </w:rPr>
              <w:t>需要</w:t>
            </w:r>
            <w:r>
              <w:rPr>
                <w:color w:val="auto"/>
                <w:sz w:val="21"/>
                <w:szCs w:val="21"/>
                <w:highlight w:val="none"/>
              </w:rPr>
              <w:t>补充</w:t>
            </w:r>
            <w:r>
              <w:rPr>
                <w:rFonts w:hint="eastAsia"/>
                <w:color w:val="auto"/>
                <w:sz w:val="21"/>
                <w:szCs w:val="21"/>
                <w:highlight w:val="none"/>
              </w:rPr>
              <w:t>的其他</w:t>
            </w:r>
            <w:r>
              <w:rPr>
                <w:color w:val="auto"/>
                <w:sz w:val="21"/>
                <w:szCs w:val="21"/>
                <w:highlight w:val="none"/>
              </w:rPr>
              <w:t>内容</w:t>
            </w:r>
          </w:p>
        </w:tc>
        <w:tc>
          <w:tcPr>
            <w:tcW w:w="503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rPr>
            </w:pP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10.1</w:t>
            </w:r>
          </w:p>
        </w:tc>
        <w:tc>
          <w:tcPr>
            <w:tcW w:w="86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lang w:val="en-US"/>
              </w:rPr>
              <w:t>代理费由中标人支付,参照《国家计委关于印发&lt;招标代理服务收费管理暂行办法&gt;的通知》（计价格〔2002〕1980号）和国家发展和改革委员会办公厅《关于招标代理服务收费有关问题的通知》（发改办价格〔2003〕857号规定的招标代理服务收费标准下浮</w:t>
            </w:r>
            <w:r>
              <w:rPr>
                <w:rFonts w:hint="eastAsia"/>
                <w:color w:val="auto"/>
                <w:sz w:val="21"/>
                <w:szCs w:val="21"/>
                <w:highlight w:val="none"/>
                <w:lang w:val="en-US" w:eastAsia="zh-CN"/>
              </w:rPr>
              <w:t>3</w:t>
            </w:r>
            <w:r>
              <w:rPr>
                <w:rFonts w:hint="eastAsia"/>
                <w:color w:val="auto"/>
                <w:sz w:val="21"/>
                <w:szCs w:val="21"/>
                <w:highlight w:val="none"/>
                <w:lang w:val="en-US"/>
              </w:rPr>
              <w:t>0%计取。</w:t>
            </w:r>
          </w:p>
        </w:tc>
      </w:tr>
      <w:t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1"/>
                <w:szCs w:val="21"/>
                <w:highlight w:val="none"/>
                <w:lang w:val="en-US"/>
              </w:rPr>
            </w:pPr>
            <w:r>
              <w:rPr>
                <w:rFonts w:hint="eastAsia"/>
                <w:color w:val="auto"/>
                <w:sz w:val="21"/>
                <w:szCs w:val="21"/>
                <w:highlight w:val="none"/>
                <w:lang w:val="en-US"/>
              </w:rPr>
              <w:t>10.2</w:t>
            </w:r>
          </w:p>
        </w:tc>
        <w:tc>
          <w:tcPr>
            <w:tcW w:w="86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1"/>
                <w:szCs w:val="21"/>
                <w:highlight w:val="none"/>
                <w:lang w:val="en-US"/>
              </w:rPr>
            </w:pPr>
            <w:r>
              <w:rPr>
                <w:rFonts w:hint="eastAsia"/>
                <w:color w:val="auto"/>
                <w:sz w:val="21"/>
                <w:szCs w:val="21"/>
                <w:highlight w:val="none"/>
                <w:lang w:val="en-US"/>
              </w:rPr>
              <w:t>前附表内容与本须知不一致的，以前附表内容为准。“投标人须知前附表”中的附录表格同属“投标人须知前附表”内容，具有同等效力。</w:t>
            </w:r>
          </w:p>
        </w:tc>
      </w:tr>
    </w:tbl>
    <w:p>
      <w:pPr>
        <w:pStyle w:val="2"/>
        <w:rPr>
          <w:color w:val="auto"/>
          <w:highlight w:val="none"/>
        </w:rPr>
      </w:pPr>
    </w:p>
    <w:p>
      <w:pPr>
        <w:pStyle w:val="4"/>
        <w:tabs>
          <w:tab w:val="left" w:pos="642"/>
        </w:tabs>
        <w:spacing w:line="360" w:lineRule="auto"/>
        <w:ind w:left="-440" w:leftChars="-200" w:firstLine="480" w:firstLineChars="150"/>
        <w:rPr>
          <w:rFonts w:asciiTheme="minorEastAsia" w:hAnsiTheme="minorEastAsia" w:eastAsiaTheme="minorEastAsia"/>
          <w:color w:val="auto"/>
          <w:highlight w:val="none"/>
        </w:rPr>
      </w:pPr>
      <w:bookmarkStart w:id="20" w:name="_bookmark22"/>
      <w:bookmarkEnd w:id="20"/>
      <w:bookmarkStart w:id="21" w:name="_Toc27417_WPSOffice_Level2"/>
      <w:bookmarkStart w:id="22" w:name="_Toc9339"/>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总</w:t>
      </w:r>
      <w:r>
        <w:rPr>
          <w:rFonts w:hint="eastAsia" w:asciiTheme="minorEastAsia" w:hAnsiTheme="minorEastAsia" w:eastAsiaTheme="minorEastAsia"/>
          <w:color w:val="auto"/>
          <w:highlight w:val="none"/>
          <w:lang w:val="en-US"/>
        </w:rPr>
        <w:t xml:space="preserve">  </w:t>
      </w:r>
      <w:r>
        <w:rPr>
          <w:rFonts w:asciiTheme="minorEastAsia" w:hAnsiTheme="minorEastAsia" w:eastAsiaTheme="minorEastAsia"/>
          <w:color w:val="auto"/>
          <w:highlight w:val="none"/>
        </w:rPr>
        <w:t>则</w:t>
      </w:r>
      <w:bookmarkEnd w:id="21"/>
      <w:bookmarkEnd w:id="22"/>
    </w:p>
    <w:p>
      <w:pPr>
        <w:pStyle w:val="5"/>
        <w:numPr>
          <w:ilvl w:val="1"/>
          <w:numId w:val="2"/>
        </w:numPr>
        <w:tabs>
          <w:tab w:val="left" w:pos="867"/>
        </w:tabs>
        <w:spacing w:line="360" w:lineRule="auto"/>
        <w:ind w:left="-440" w:leftChars="-200" w:firstLine="556" w:firstLineChars="200"/>
        <w:rPr>
          <w:color w:val="auto"/>
          <w:highlight w:val="none"/>
        </w:rPr>
      </w:pPr>
      <w:bookmarkStart w:id="23" w:name="_bookmark23"/>
      <w:bookmarkEnd w:id="23"/>
      <w:bookmarkStart w:id="24" w:name="_Toc2783_WPSOffice_Level3"/>
      <w:bookmarkStart w:id="25" w:name="_Toc11974"/>
      <w:r>
        <w:rPr>
          <w:color w:val="auto"/>
          <w:spacing w:val="-1"/>
          <w:highlight w:val="none"/>
        </w:rPr>
        <w:t>招标项目概况</w:t>
      </w:r>
      <w:bookmarkEnd w:id="24"/>
      <w:bookmarkEnd w:id="25"/>
    </w:p>
    <w:p>
      <w:pPr>
        <w:pStyle w:val="38"/>
        <w:numPr>
          <w:ilvl w:val="2"/>
          <w:numId w:val="2"/>
        </w:numPr>
        <w:tabs>
          <w:tab w:val="left" w:pos="1134"/>
        </w:tabs>
        <w:spacing w:line="360" w:lineRule="auto"/>
        <w:ind w:left="0" w:firstLine="348" w:firstLineChars="200"/>
        <w:rPr>
          <w:color w:val="auto"/>
          <w:sz w:val="21"/>
          <w:highlight w:val="none"/>
        </w:rPr>
      </w:pPr>
      <w:r>
        <w:rPr>
          <w:color w:val="auto"/>
          <w:spacing w:val="-18"/>
          <w:sz w:val="21"/>
          <w:highlight w:val="none"/>
        </w:rPr>
        <w:t>根据《中华人民共和国招标投标法》《中华人民共和国招标投标法实施条例》等有关</w:t>
      </w:r>
      <w:r>
        <w:rPr>
          <w:color w:val="auto"/>
          <w:spacing w:val="-7"/>
          <w:sz w:val="21"/>
          <w:highlight w:val="none"/>
        </w:rPr>
        <w:t>法律、法规和规章的规定，本招标项目已具备招标条件，现进行</w:t>
      </w:r>
      <w:r>
        <w:rPr>
          <w:rFonts w:hint="eastAsia"/>
          <w:color w:val="auto"/>
          <w:spacing w:val="-7"/>
          <w:sz w:val="21"/>
          <w:highlight w:val="none"/>
          <w:lang w:val="en-US"/>
        </w:rPr>
        <w:t>公开</w:t>
      </w:r>
      <w:r>
        <w:rPr>
          <w:color w:val="auto"/>
          <w:spacing w:val="-7"/>
          <w:sz w:val="21"/>
          <w:highlight w:val="none"/>
        </w:rPr>
        <w:t>招标。</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招标人：见投标人须知前附表。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招标代理机构：见投标人须知前附表。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招标项目名称：见投标人须知前附表。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项目建设地点：见投标人须知前附表。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项目建设规模：见投标人须知前附表。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项目投资估算：见投标人须知前附表。</w:t>
      </w:r>
    </w:p>
    <w:p>
      <w:pPr>
        <w:pStyle w:val="5"/>
        <w:numPr>
          <w:ilvl w:val="1"/>
          <w:numId w:val="2"/>
        </w:numPr>
        <w:tabs>
          <w:tab w:val="left" w:pos="867"/>
        </w:tabs>
        <w:spacing w:line="360" w:lineRule="auto"/>
        <w:ind w:left="-440" w:leftChars="-200" w:firstLine="548" w:firstLineChars="200"/>
        <w:rPr>
          <w:color w:val="auto"/>
          <w:highlight w:val="none"/>
        </w:rPr>
      </w:pPr>
      <w:bookmarkStart w:id="26" w:name="_bookmark24"/>
      <w:bookmarkEnd w:id="26"/>
      <w:bookmarkStart w:id="27" w:name="_Toc22612_WPSOffice_Level3"/>
      <w:bookmarkStart w:id="28" w:name="_Toc9584"/>
      <w:r>
        <w:rPr>
          <w:color w:val="auto"/>
          <w:spacing w:val="-3"/>
          <w:highlight w:val="none"/>
        </w:rPr>
        <w:t>招标项目的资金来源和落实情况</w:t>
      </w:r>
      <w:bookmarkEnd w:id="27"/>
      <w:bookmarkEnd w:id="28"/>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资金来源及比例：见投标人须知前附表。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资金落实情况：见投标人须知前附表。</w:t>
      </w:r>
    </w:p>
    <w:p>
      <w:pPr>
        <w:pStyle w:val="5"/>
        <w:numPr>
          <w:ilvl w:val="1"/>
          <w:numId w:val="2"/>
        </w:numPr>
        <w:tabs>
          <w:tab w:val="left" w:pos="798"/>
        </w:tabs>
        <w:spacing w:line="360" w:lineRule="auto"/>
        <w:ind w:left="-440" w:leftChars="-200" w:firstLine="548" w:firstLineChars="200"/>
        <w:rPr>
          <w:color w:val="auto"/>
          <w:highlight w:val="none"/>
        </w:rPr>
      </w:pPr>
      <w:bookmarkStart w:id="29" w:name="_bookmark25"/>
      <w:bookmarkEnd w:id="29"/>
      <w:bookmarkStart w:id="30" w:name="_Toc19840"/>
      <w:bookmarkStart w:id="31" w:name="_Toc32754_WPSOffice_Level3"/>
      <w:r>
        <w:rPr>
          <w:color w:val="auto"/>
          <w:spacing w:val="-3"/>
          <w:highlight w:val="none"/>
        </w:rPr>
        <w:t>招标范围、服务期限和质量标准</w:t>
      </w:r>
      <w:bookmarkEnd w:id="30"/>
      <w:bookmarkEnd w:id="31"/>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招标范围：见投标人须知前附表。</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服务期限：见投标人须知前附表。</w:t>
      </w:r>
    </w:p>
    <w:p>
      <w:pPr>
        <w:pStyle w:val="5"/>
        <w:numPr>
          <w:ilvl w:val="1"/>
          <w:numId w:val="2"/>
        </w:numPr>
        <w:tabs>
          <w:tab w:val="left" w:pos="798"/>
        </w:tabs>
        <w:spacing w:line="360" w:lineRule="auto"/>
        <w:ind w:left="-440" w:leftChars="-200" w:firstLine="548" w:firstLineChars="200"/>
        <w:rPr>
          <w:color w:val="auto"/>
          <w:spacing w:val="-3"/>
          <w:highlight w:val="none"/>
        </w:rPr>
      </w:pPr>
      <w:bookmarkStart w:id="32" w:name="_bookmark26"/>
      <w:bookmarkEnd w:id="32"/>
      <w:bookmarkStart w:id="33" w:name="_Toc28757_WPSOffice_Level3"/>
      <w:bookmarkStart w:id="34" w:name="_Toc2838"/>
      <w:r>
        <w:rPr>
          <w:color w:val="auto"/>
          <w:spacing w:val="-3"/>
          <w:highlight w:val="none"/>
        </w:rPr>
        <w:t>投标人资格要求</w:t>
      </w:r>
      <w:bookmarkEnd w:id="33"/>
      <w:bookmarkEnd w:id="34"/>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投标人应具备承担本招标项目资质条件、能力和信誉：</w:t>
      </w:r>
    </w:p>
    <w:p>
      <w:pPr>
        <w:pStyle w:val="38"/>
        <w:numPr>
          <w:ilvl w:val="0"/>
          <w:numId w:val="3"/>
        </w:numPr>
        <w:tabs>
          <w:tab w:val="left" w:pos="1084"/>
        </w:tabs>
        <w:spacing w:line="360" w:lineRule="auto"/>
        <w:ind w:left="0" w:firstLine="408" w:firstLineChars="200"/>
        <w:rPr>
          <w:color w:val="auto"/>
          <w:sz w:val="21"/>
          <w:highlight w:val="none"/>
        </w:rPr>
      </w:pPr>
      <w:r>
        <w:rPr>
          <w:color w:val="auto"/>
          <w:spacing w:val="-3"/>
          <w:sz w:val="21"/>
          <w:highlight w:val="none"/>
        </w:rPr>
        <w:t>资质要求：见投标人须知前附表；</w:t>
      </w:r>
    </w:p>
    <w:p>
      <w:pPr>
        <w:pStyle w:val="38"/>
        <w:numPr>
          <w:ilvl w:val="0"/>
          <w:numId w:val="3"/>
        </w:numPr>
        <w:tabs>
          <w:tab w:val="left" w:pos="1084"/>
        </w:tabs>
        <w:spacing w:line="360" w:lineRule="auto"/>
        <w:ind w:left="0" w:firstLine="408" w:firstLineChars="200"/>
        <w:rPr>
          <w:color w:val="auto"/>
          <w:sz w:val="21"/>
          <w:highlight w:val="none"/>
        </w:rPr>
      </w:pPr>
      <w:r>
        <w:rPr>
          <w:color w:val="auto"/>
          <w:spacing w:val="-3"/>
          <w:sz w:val="21"/>
          <w:highlight w:val="none"/>
        </w:rPr>
        <w:t>财务要求：见投标人须知前附表；</w:t>
      </w:r>
    </w:p>
    <w:p>
      <w:pPr>
        <w:pStyle w:val="38"/>
        <w:numPr>
          <w:ilvl w:val="0"/>
          <w:numId w:val="3"/>
        </w:numPr>
        <w:tabs>
          <w:tab w:val="left" w:pos="1084"/>
        </w:tabs>
        <w:spacing w:line="360" w:lineRule="auto"/>
        <w:ind w:left="0" w:firstLine="408" w:firstLineChars="200"/>
        <w:rPr>
          <w:color w:val="auto"/>
          <w:sz w:val="21"/>
          <w:highlight w:val="none"/>
        </w:rPr>
      </w:pPr>
      <w:r>
        <w:rPr>
          <w:color w:val="auto"/>
          <w:spacing w:val="-3"/>
          <w:sz w:val="21"/>
          <w:highlight w:val="none"/>
        </w:rPr>
        <w:t>业绩要求：见投标人须知前附表；</w:t>
      </w:r>
    </w:p>
    <w:p>
      <w:pPr>
        <w:pStyle w:val="38"/>
        <w:numPr>
          <w:ilvl w:val="0"/>
          <w:numId w:val="3"/>
        </w:numPr>
        <w:tabs>
          <w:tab w:val="left" w:pos="1084"/>
        </w:tabs>
        <w:spacing w:line="360" w:lineRule="auto"/>
        <w:ind w:left="0" w:firstLine="408" w:firstLineChars="200"/>
        <w:rPr>
          <w:color w:val="auto"/>
          <w:sz w:val="21"/>
          <w:highlight w:val="none"/>
        </w:rPr>
      </w:pPr>
      <w:r>
        <w:rPr>
          <w:color w:val="auto"/>
          <w:spacing w:val="-3"/>
          <w:sz w:val="21"/>
          <w:highlight w:val="none"/>
        </w:rPr>
        <w:t>信誉要求：见投标人须知前附表；</w:t>
      </w:r>
    </w:p>
    <w:p>
      <w:pPr>
        <w:pStyle w:val="38"/>
        <w:tabs>
          <w:tab w:val="left" w:pos="1084"/>
        </w:tabs>
        <w:spacing w:line="360" w:lineRule="auto"/>
        <w:ind w:left="414" w:firstLine="0"/>
        <w:rPr>
          <w:color w:val="auto"/>
          <w:spacing w:val="-3"/>
          <w:sz w:val="21"/>
          <w:highlight w:val="none"/>
        </w:rPr>
      </w:pPr>
      <w:r>
        <w:rPr>
          <w:color w:val="auto"/>
          <w:spacing w:val="-3"/>
          <w:sz w:val="21"/>
          <w:highlight w:val="none"/>
        </w:rPr>
        <w:t>需要提交的相关证明材料见本章第 3.5 款的规定。</w:t>
      </w:r>
    </w:p>
    <w:p>
      <w:pPr>
        <w:pStyle w:val="38"/>
        <w:numPr>
          <w:ilvl w:val="2"/>
          <w:numId w:val="2"/>
        </w:numPr>
        <w:tabs>
          <w:tab w:val="left" w:pos="1162"/>
        </w:tabs>
        <w:spacing w:line="360" w:lineRule="auto"/>
        <w:ind w:left="0" w:firstLine="412" w:firstLineChars="200"/>
        <w:rPr>
          <w:color w:val="auto"/>
          <w:sz w:val="21"/>
          <w:highlight w:val="none"/>
        </w:rPr>
      </w:pPr>
      <w:r>
        <w:rPr>
          <w:rFonts w:hint="eastAsia"/>
          <w:color w:val="auto"/>
          <w:spacing w:val="-2"/>
          <w:sz w:val="21"/>
          <w:highlight w:val="none"/>
          <w:lang w:val="en-US"/>
        </w:rPr>
        <w:t>本次招标不接受联合体投标。</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投标人不得存在下列情形之一：</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1</w:t>
      </w:r>
      <w:r>
        <w:rPr>
          <w:rFonts w:hint="eastAsia"/>
          <w:color w:val="auto"/>
          <w:sz w:val="21"/>
          <w:highlight w:val="none"/>
          <w:lang w:val="en-US"/>
        </w:rPr>
        <w:t>）  为招标人不具有独立法人资格的附属机构（单位）；</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2</w:t>
      </w:r>
      <w:r>
        <w:rPr>
          <w:rFonts w:hint="eastAsia"/>
          <w:color w:val="auto"/>
          <w:sz w:val="21"/>
          <w:highlight w:val="none"/>
          <w:lang w:val="en-US"/>
        </w:rPr>
        <w:t>）  与招标人存在利害关系且可能影响招标公正性；</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3</w:t>
      </w:r>
      <w:r>
        <w:rPr>
          <w:rFonts w:hint="eastAsia"/>
          <w:color w:val="auto"/>
          <w:sz w:val="21"/>
          <w:highlight w:val="none"/>
          <w:lang w:val="en-US"/>
        </w:rPr>
        <w:t>）  与本招标项目的其他投标人为同一个单位负责人；</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4</w:t>
      </w:r>
      <w:r>
        <w:rPr>
          <w:rFonts w:hint="eastAsia"/>
          <w:color w:val="auto"/>
          <w:sz w:val="21"/>
          <w:highlight w:val="none"/>
          <w:lang w:val="en-US"/>
        </w:rPr>
        <w:t>）  与本招标项目的其他投标人存在控股、管理关系；</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5</w:t>
      </w:r>
      <w:r>
        <w:rPr>
          <w:rFonts w:hint="eastAsia"/>
          <w:color w:val="auto"/>
          <w:sz w:val="21"/>
          <w:highlight w:val="none"/>
          <w:lang w:val="en-US"/>
        </w:rPr>
        <w:t>）  为本招标项目的代建人；</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6</w:t>
      </w:r>
      <w:r>
        <w:rPr>
          <w:rFonts w:hint="eastAsia"/>
          <w:color w:val="auto"/>
          <w:sz w:val="21"/>
          <w:highlight w:val="none"/>
          <w:lang w:val="en-US"/>
        </w:rPr>
        <w:t>）  为本招标项目的招标代理机构；</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7</w:t>
      </w:r>
      <w:r>
        <w:rPr>
          <w:rFonts w:hint="eastAsia"/>
          <w:color w:val="auto"/>
          <w:sz w:val="21"/>
          <w:highlight w:val="none"/>
          <w:lang w:val="en-US"/>
        </w:rPr>
        <w:t>）  与本招标项目的代建人或招标代理机构同为一个法定代表人；</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8</w:t>
      </w:r>
      <w:r>
        <w:rPr>
          <w:rFonts w:hint="eastAsia"/>
          <w:color w:val="auto"/>
          <w:sz w:val="21"/>
          <w:highlight w:val="none"/>
          <w:lang w:val="en-US"/>
        </w:rPr>
        <w:t>）  与本招标项目的代建人或招标代理机构存在控股或参股关系；</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9</w:t>
      </w:r>
      <w:r>
        <w:rPr>
          <w:rFonts w:hint="eastAsia"/>
          <w:color w:val="auto"/>
          <w:sz w:val="21"/>
          <w:highlight w:val="none"/>
          <w:lang w:val="en-US"/>
        </w:rPr>
        <w:t>）  被依法暂停或者取消投标资格；</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10</w:t>
      </w:r>
      <w:r>
        <w:rPr>
          <w:rFonts w:hint="eastAsia"/>
          <w:color w:val="auto"/>
          <w:sz w:val="21"/>
          <w:highlight w:val="none"/>
          <w:lang w:val="en-US"/>
        </w:rPr>
        <w:t>） 被责令停产停业、暂扣或者吊销许可证、暂扣或者吊销执照；</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11</w:t>
      </w:r>
      <w:r>
        <w:rPr>
          <w:rFonts w:hint="eastAsia"/>
          <w:color w:val="auto"/>
          <w:sz w:val="21"/>
          <w:highlight w:val="none"/>
          <w:lang w:val="en-US"/>
        </w:rPr>
        <w:t>） 进入清算程序，或被宣告破产，或其他丧失履约能力的情形；</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12</w:t>
      </w:r>
      <w:r>
        <w:rPr>
          <w:rFonts w:hint="eastAsia"/>
          <w:color w:val="auto"/>
          <w:sz w:val="21"/>
          <w:highlight w:val="none"/>
          <w:lang w:val="en-US"/>
        </w:rPr>
        <w:t>） 在最近三年内发生重大设计质量问题（以相关行业主管部门的行政处罚决定或司法机关出具的有关法律文书为准）；</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13</w:t>
      </w:r>
      <w:r>
        <w:rPr>
          <w:rFonts w:hint="eastAsia"/>
          <w:color w:val="auto"/>
          <w:sz w:val="21"/>
          <w:highlight w:val="none"/>
          <w:lang w:val="en-US"/>
        </w:rPr>
        <w:t>） 被工商行政管理机关在全国企业信用信息公示系统中列入严重违法失信企业名单；</w:t>
      </w:r>
    </w:p>
    <w:p>
      <w:pPr>
        <w:pStyle w:val="38"/>
        <w:tabs>
          <w:tab w:val="left" w:pos="1186"/>
        </w:tabs>
        <w:spacing w:line="360" w:lineRule="auto"/>
        <w:ind w:left="420" w:firstLine="0"/>
        <w:rPr>
          <w:color w:val="auto"/>
          <w:sz w:val="21"/>
          <w:highlight w:val="none"/>
          <w:lang w:val="en-US"/>
        </w:rPr>
      </w:pPr>
      <w:r>
        <w:rPr>
          <w:rFonts w:hint="eastAsia"/>
          <w:color w:val="auto"/>
          <w:sz w:val="21"/>
          <w:highlight w:val="none"/>
          <w:lang w:val="en-US"/>
        </w:rPr>
        <w:t>（</w:t>
      </w:r>
      <w:r>
        <w:rPr>
          <w:color w:val="auto"/>
          <w:sz w:val="21"/>
          <w:highlight w:val="none"/>
          <w:lang w:val="en-US"/>
        </w:rPr>
        <w:t>14</w:t>
      </w:r>
      <w:r>
        <w:rPr>
          <w:rFonts w:hint="eastAsia"/>
          <w:color w:val="auto"/>
          <w:sz w:val="21"/>
          <w:highlight w:val="none"/>
          <w:lang w:val="en-US"/>
        </w:rPr>
        <w:t>） 被最高人民法院在</w:t>
      </w:r>
      <w:r>
        <w:rPr>
          <w:color w:val="auto"/>
          <w:sz w:val="21"/>
          <w:highlight w:val="none"/>
          <w:lang w:val="en-US"/>
        </w:rPr>
        <w:t>“</w:t>
      </w:r>
      <w:r>
        <w:rPr>
          <w:rFonts w:hint="eastAsia"/>
          <w:color w:val="auto"/>
          <w:sz w:val="21"/>
          <w:highlight w:val="none"/>
          <w:lang w:val="en-US"/>
        </w:rPr>
        <w:t>信用中国</w:t>
      </w:r>
      <w:r>
        <w:rPr>
          <w:color w:val="auto"/>
          <w:sz w:val="21"/>
          <w:highlight w:val="none"/>
          <w:lang w:val="en-US"/>
        </w:rPr>
        <w:t>”</w:t>
      </w:r>
      <w:r>
        <w:rPr>
          <w:rFonts w:hint="eastAsia"/>
          <w:color w:val="auto"/>
          <w:sz w:val="21"/>
          <w:highlight w:val="none"/>
          <w:lang w:val="en-US"/>
        </w:rPr>
        <w:t>网站（</w:t>
      </w:r>
      <w:r>
        <w:rPr>
          <w:color w:val="auto"/>
          <w:sz w:val="21"/>
          <w:highlight w:val="none"/>
          <w:lang w:val="en-US"/>
        </w:rPr>
        <w:t>www.creditchina.gov.cn</w:t>
      </w:r>
      <w:r>
        <w:rPr>
          <w:rFonts w:hint="eastAsia"/>
          <w:color w:val="auto"/>
          <w:sz w:val="21"/>
          <w:highlight w:val="none"/>
          <w:lang w:val="en-US"/>
        </w:rPr>
        <w:t>）或各级信用信息共享平台中列入失信被执行人名单；</w:t>
      </w:r>
    </w:p>
    <w:p>
      <w:pPr>
        <w:tabs>
          <w:tab w:val="left" w:pos="1186"/>
        </w:tabs>
        <w:spacing w:line="360" w:lineRule="auto"/>
        <w:ind w:firstLine="420" w:firstLineChars="200"/>
        <w:rPr>
          <w:color w:val="auto"/>
          <w:sz w:val="21"/>
          <w:highlight w:val="none"/>
          <w:lang w:val="en-US"/>
        </w:rPr>
      </w:pPr>
      <w:r>
        <w:rPr>
          <w:rFonts w:hint="eastAsia"/>
          <w:color w:val="auto"/>
          <w:sz w:val="21"/>
          <w:highlight w:val="none"/>
          <w:lang w:val="en-US"/>
        </w:rPr>
        <w:t>（</w:t>
      </w:r>
      <w:r>
        <w:rPr>
          <w:color w:val="auto"/>
          <w:sz w:val="21"/>
          <w:highlight w:val="none"/>
          <w:lang w:val="en-US"/>
        </w:rPr>
        <w:t>15</w:t>
      </w:r>
      <w:r>
        <w:rPr>
          <w:rFonts w:hint="eastAsia"/>
          <w:color w:val="auto"/>
          <w:sz w:val="21"/>
          <w:highlight w:val="none"/>
          <w:lang w:val="en-US"/>
        </w:rPr>
        <w:t>） 在近三年内投标人或其法定代表人、拟委任的项目负责人有行贿犯罪行为的（以检察机关职务犯罪预防部门出具的查询结果为准）；</w:t>
      </w:r>
    </w:p>
    <w:p>
      <w:pPr>
        <w:pStyle w:val="38"/>
        <w:tabs>
          <w:tab w:val="left" w:pos="1186"/>
        </w:tabs>
        <w:spacing w:line="360" w:lineRule="auto"/>
        <w:ind w:left="420" w:firstLine="0"/>
        <w:rPr>
          <w:color w:val="auto"/>
          <w:sz w:val="21"/>
          <w:highlight w:val="none"/>
        </w:rPr>
      </w:pPr>
      <w:r>
        <w:rPr>
          <w:rFonts w:hint="eastAsia"/>
          <w:color w:val="auto"/>
          <w:sz w:val="21"/>
          <w:highlight w:val="none"/>
          <w:lang w:val="en-US"/>
        </w:rPr>
        <w:t>（</w:t>
      </w:r>
      <w:r>
        <w:rPr>
          <w:color w:val="auto"/>
          <w:sz w:val="21"/>
          <w:highlight w:val="none"/>
          <w:lang w:val="en-US"/>
        </w:rPr>
        <w:t>16</w:t>
      </w:r>
      <w:r>
        <w:rPr>
          <w:rFonts w:hint="eastAsia"/>
          <w:color w:val="auto"/>
          <w:sz w:val="21"/>
          <w:highlight w:val="none"/>
          <w:lang w:val="en-US"/>
        </w:rPr>
        <w:t>） 法律法规或投标人须知前附表规定的其他情形。</w:t>
      </w:r>
    </w:p>
    <w:p>
      <w:pPr>
        <w:pStyle w:val="5"/>
        <w:numPr>
          <w:ilvl w:val="1"/>
          <w:numId w:val="2"/>
        </w:numPr>
        <w:tabs>
          <w:tab w:val="left" w:pos="867"/>
        </w:tabs>
        <w:spacing w:line="360" w:lineRule="auto"/>
        <w:ind w:left="-440" w:leftChars="-200" w:firstLine="560" w:firstLineChars="200"/>
        <w:rPr>
          <w:color w:val="auto"/>
          <w:highlight w:val="none"/>
        </w:rPr>
      </w:pPr>
      <w:bookmarkStart w:id="35" w:name="_bookmark27"/>
      <w:bookmarkEnd w:id="35"/>
      <w:bookmarkStart w:id="36" w:name="_Toc25576_WPSOffice_Level3"/>
      <w:bookmarkStart w:id="37" w:name="_Toc25392"/>
      <w:r>
        <w:rPr>
          <w:color w:val="auto"/>
          <w:highlight w:val="none"/>
        </w:rPr>
        <w:t>费用承担</w:t>
      </w:r>
      <w:bookmarkEnd w:id="36"/>
      <w:bookmarkEnd w:id="37"/>
    </w:p>
    <w:p>
      <w:pPr>
        <w:pStyle w:val="2"/>
        <w:spacing w:line="360" w:lineRule="auto"/>
        <w:ind w:firstLine="420" w:firstLineChars="200"/>
        <w:rPr>
          <w:color w:val="auto"/>
          <w:highlight w:val="none"/>
        </w:rPr>
      </w:pPr>
      <w:r>
        <w:rPr>
          <w:color w:val="auto"/>
          <w:highlight w:val="none"/>
        </w:rPr>
        <w:t>投标人准备和参加投标活动发生的费用自理。</w:t>
      </w:r>
    </w:p>
    <w:p>
      <w:pPr>
        <w:pStyle w:val="5"/>
        <w:numPr>
          <w:ilvl w:val="1"/>
          <w:numId w:val="2"/>
        </w:numPr>
        <w:tabs>
          <w:tab w:val="left" w:pos="798"/>
        </w:tabs>
        <w:spacing w:line="360" w:lineRule="auto"/>
        <w:ind w:left="-440" w:leftChars="-200" w:firstLine="560" w:firstLineChars="200"/>
        <w:rPr>
          <w:color w:val="auto"/>
          <w:highlight w:val="none"/>
        </w:rPr>
      </w:pPr>
      <w:bookmarkStart w:id="38" w:name="_bookmark28"/>
      <w:bookmarkEnd w:id="38"/>
      <w:bookmarkStart w:id="39" w:name="_Toc20928"/>
      <w:bookmarkStart w:id="40" w:name="_Toc2987_WPSOffice_Level3"/>
      <w:r>
        <w:rPr>
          <w:color w:val="auto"/>
          <w:highlight w:val="none"/>
        </w:rPr>
        <w:t>保密</w:t>
      </w:r>
      <w:bookmarkEnd w:id="39"/>
      <w:bookmarkEnd w:id="40"/>
    </w:p>
    <w:p>
      <w:pPr>
        <w:pStyle w:val="2"/>
        <w:spacing w:line="360" w:lineRule="auto"/>
        <w:ind w:firstLine="404" w:firstLineChars="200"/>
        <w:rPr>
          <w:color w:val="auto"/>
          <w:highlight w:val="none"/>
        </w:rPr>
      </w:pPr>
      <w:r>
        <w:rPr>
          <w:color w:val="auto"/>
          <w:spacing w:val="-4"/>
          <w:highlight w:val="none"/>
        </w:rPr>
        <w:t>参与招标投标活动的各方应对招标文件和投标文件中的商业和技术等秘密保密，否则应承</w:t>
      </w:r>
      <w:r>
        <w:rPr>
          <w:color w:val="auto"/>
          <w:spacing w:val="-3"/>
          <w:highlight w:val="none"/>
        </w:rPr>
        <w:t>担相应的法律责任。</w:t>
      </w:r>
    </w:p>
    <w:p>
      <w:pPr>
        <w:pStyle w:val="5"/>
        <w:numPr>
          <w:ilvl w:val="1"/>
          <w:numId w:val="2"/>
        </w:numPr>
        <w:tabs>
          <w:tab w:val="left" w:pos="867"/>
        </w:tabs>
        <w:spacing w:line="360" w:lineRule="auto"/>
        <w:ind w:left="-440" w:leftChars="-200" w:firstLine="560" w:firstLineChars="200"/>
        <w:rPr>
          <w:color w:val="auto"/>
          <w:highlight w:val="none"/>
        </w:rPr>
      </w:pPr>
      <w:bookmarkStart w:id="41" w:name="_bookmark29"/>
      <w:bookmarkEnd w:id="41"/>
      <w:bookmarkStart w:id="42" w:name="_Toc25897"/>
      <w:bookmarkStart w:id="43" w:name="_Toc23265_WPSOffice_Level3"/>
      <w:r>
        <w:rPr>
          <w:color w:val="auto"/>
          <w:highlight w:val="none"/>
        </w:rPr>
        <w:t>语言文字</w:t>
      </w:r>
      <w:bookmarkEnd w:id="42"/>
      <w:bookmarkEnd w:id="43"/>
    </w:p>
    <w:p>
      <w:pPr>
        <w:pStyle w:val="2"/>
        <w:spacing w:line="360" w:lineRule="auto"/>
        <w:ind w:firstLine="420" w:firstLineChars="200"/>
        <w:rPr>
          <w:color w:val="auto"/>
          <w:highlight w:val="none"/>
        </w:rPr>
      </w:pPr>
      <w:r>
        <w:rPr>
          <w:color w:val="auto"/>
          <w:highlight w:val="none"/>
        </w:rPr>
        <w:t>招标投标文件使用的语言文字为中文。专用术语使用外文的，应附有中文注释。</w:t>
      </w:r>
    </w:p>
    <w:p>
      <w:pPr>
        <w:pStyle w:val="5"/>
        <w:numPr>
          <w:ilvl w:val="1"/>
          <w:numId w:val="2"/>
        </w:numPr>
        <w:tabs>
          <w:tab w:val="left" w:pos="798"/>
        </w:tabs>
        <w:spacing w:line="360" w:lineRule="auto"/>
        <w:ind w:left="-440" w:leftChars="-200" w:firstLine="560" w:firstLineChars="200"/>
        <w:rPr>
          <w:color w:val="auto"/>
          <w:highlight w:val="none"/>
        </w:rPr>
      </w:pPr>
      <w:bookmarkStart w:id="44" w:name="_bookmark30"/>
      <w:bookmarkEnd w:id="44"/>
      <w:bookmarkStart w:id="45" w:name="_Toc28655_WPSOffice_Level3"/>
      <w:bookmarkStart w:id="46" w:name="_Toc659"/>
      <w:r>
        <w:rPr>
          <w:color w:val="auto"/>
          <w:highlight w:val="none"/>
        </w:rPr>
        <w:t>计量单位</w:t>
      </w:r>
      <w:bookmarkEnd w:id="45"/>
      <w:bookmarkEnd w:id="46"/>
    </w:p>
    <w:p>
      <w:pPr>
        <w:pStyle w:val="2"/>
        <w:spacing w:line="360" w:lineRule="auto"/>
        <w:ind w:firstLine="420" w:firstLineChars="200"/>
        <w:rPr>
          <w:color w:val="auto"/>
          <w:highlight w:val="none"/>
        </w:rPr>
      </w:pPr>
      <w:r>
        <w:rPr>
          <w:color w:val="auto"/>
          <w:highlight w:val="none"/>
        </w:rPr>
        <w:t>所有计量均采用中华人民共和国法定计量单位。</w:t>
      </w:r>
    </w:p>
    <w:p>
      <w:pPr>
        <w:pStyle w:val="5"/>
        <w:numPr>
          <w:ilvl w:val="1"/>
          <w:numId w:val="2"/>
        </w:numPr>
        <w:tabs>
          <w:tab w:val="left" w:pos="867"/>
        </w:tabs>
        <w:spacing w:line="360" w:lineRule="auto"/>
        <w:ind w:left="-440" w:leftChars="-200" w:firstLine="560" w:firstLineChars="200"/>
        <w:rPr>
          <w:color w:val="auto"/>
          <w:highlight w:val="none"/>
        </w:rPr>
      </w:pPr>
      <w:bookmarkStart w:id="47" w:name="_bookmark31"/>
      <w:bookmarkEnd w:id="47"/>
      <w:bookmarkStart w:id="48" w:name="_Toc26148_WPSOffice_Level3"/>
      <w:bookmarkStart w:id="49" w:name="_Toc1171"/>
      <w:r>
        <w:rPr>
          <w:color w:val="auto"/>
          <w:highlight w:val="none"/>
        </w:rPr>
        <w:t>踏勘现场</w:t>
      </w:r>
      <w:bookmarkEnd w:id="48"/>
      <w:bookmarkEnd w:id="49"/>
    </w:p>
    <w:p>
      <w:pPr>
        <w:pStyle w:val="38"/>
        <w:numPr>
          <w:ilvl w:val="2"/>
          <w:numId w:val="2"/>
        </w:numPr>
        <w:tabs>
          <w:tab w:val="left" w:pos="1186"/>
        </w:tabs>
        <w:spacing w:line="360" w:lineRule="auto"/>
        <w:ind w:left="0" w:firstLine="392" w:firstLineChars="200"/>
        <w:rPr>
          <w:color w:val="auto"/>
          <w:sz w:val="21"/>
          <w:highlight w:val="none"/>
        </w:rPr>
      </w:pPr>
      <w:r>
        <w:rPr>
          <w:color w:val="auto"/>
          <w:spacing w:val="-7"/>
          <w:sz w:val="21"/>
          <w:highlight w:val="none"/>
        </w:rPr>
        <w:t>投标人须知前附表规定组织踏勘现场的，招标人按投标人须知前附表规定的时间、地</w:t>
      </w:r>
      <w:r>
        <w:rPr>
          <w:color w:val="auto"/>
          <w:spacing w:val="-15"/>
          <w:sz w:val="21"/>
          <w:highlight w:val="none"/>
        </w:rPr>
        <w:t>点组织投标人踏勘项目现场。部分投标人未按时参加踏勘现场的，不影响踏勘现场的正常进行。</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投标人踏勘现场发生的费用自理。</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除招标人的原因外，投标人自行负责在踏勘现场中所发生的人员伤亡和财产损失。</w:t>
      </w:r>
    </w:p>
    <w:p>
      <w:pPr>
        <w:pStyle w:val="38"/>
        <w:numPr>
          <w:ilvl w:val="2"/>
          <w:numId w:val="2"/>
        </w:numPr>
        <w:tabs>
          <w:tab w:val="left" w:pos="1186"/>
        </w:tabs>
        <w:spacing w:line="360" w:lineRule="auto"/>
        <w:ind w:left="0" w:firstLine="396" w:firstLineChars="200"/>
        <w:rPr>
          <w:color w:val="auto"/>
          <w:sz w:val="21"/>
          <w:highlight w:val="none"/>
        </w:rPr>
      </w:pPr>
      <w:r>
        <w:rPr>
          <w:color w:val="auto"/>
          <w:spacing w:val="-6"/>
          <w:sz w:val="21"/>
          <w:highlight w:val="none"/>
        </w:rPr>
        <w:t>招标人在踏勘现场中介绍的工程场地和相关的周边环境情况，供投标人在编制投标文</w:t>
      </w:r>
      <w:r>
        <w:rPr>
          <w:color w:val="auto"/>
          <w:spacing w:val="-4"/>
          <w:sz w:val="21"/>
          <w:highlight w:val="none"/>
        </w:rPr>
        <w:t>件时参考，招标人不对投标人据此作出的判断和决策负责。</w:t>
      </w:r>
    </w:p>
    <w:p>
      <w:pPr>
        <w:pStyle w:val="5"/>
        <w:numPr>
          <w:ilvl w:val="1"/>
          <w:numId w:val="2"/>
        </w:numPr>
        <w:tabs>
          <w:tab w:val="left" w:pos="937"/>
        </w:tabs>
        <w:spacing w:line="360" w:lineRule="auto"/>
        <w:ind w:left="-440" w:leftChars="-200" w:firstLine="560" w:firstLineChars="200"/>
        <w:rPr>
          <w:color w:val="auto"/>
          <w:highlight w:val="none"/>
        </w:rPr>
      </w:pPr>
      <w:bookmarkStart w:id="50" w:name="_bookmark32"/>
      <w:bookmarkEnd w:id="50"/>
      <w:bookmarkStart w:id="51" w:name="_Toc3149"/>
      <w:bookmarkStart w:id="52" w:name="_Toc27417_WPSOffice_Level3"/>
      <w:r>
        <w:rPr>
          <w:color w:val="auto"/>
          <w:highlight w:val="none"/>
        </w:rPr>
        <w:t>投标预备会</w:t>
      </w:r>
      <w:bookmarkEnd w:id="51"/>
      <w:bookmarkEnd w:id="52"/>
    </w:p>
    <w:p>
      <w:pPr>
        <w:pStyle w:val="38"/>
        <w:numPr>
          <w:ilvl w:val="2"/>
          <w:numId w:val="2"/>
        </w:numPr>
        <w:tabs>
          <w:tab w:val="left" w:pos="1294"/>
        </w:tabs>
        <w:spacing w:line="360" w:lineRule="auto"/>
        <w:ind w:left="0" w:firstLine="404" w:firstLineChars="200"/>
        <w:rPr>
          <w:color w:val="auto"/>
          <w:sz w:val="21"/>
          <w:highlight w:val="none"/>
        </w:rPr>
      </w:pPr>
      <w:r>
        <w:rPr>
          <w:color w:val="auto"/>
          <w:spacing w:val="-4"/>
          <w:sz w:val="21"/>
          <w:highlight w:val="none"/>
        </w:rPr>
        <w:t>投标人须知前附表规定召开投标预备会的，招标人按投标人须知前附表规定的时间</w:t>
      </w:r>
      <w:r>
        <w:rPr>
          <w:color w:val="auto"/>
          <w:spacing w:val="-3"/>
          <w:sz w:val="21"/>
          <w:highlight w:val="none"/>
        </w:rPr>
        <w:t>和地点召开投标预备会，澄清投标人提出的问题。</w:t>
      </w:r>
    </w:p>
    <w:p>
      <w:pPr>
        <w:pStyle w:val="38"/>
        <w:numPr>
          <w:ilvl w:val="2"/>
          <w:numId w:val="2"/>
        </w:numPr>
        <w:tabs>
          <w:tab w:val="left" w:pos="1294"/>
        </w:tabs>
        <w:spacing w:line="360" w:lineRule="auto"/>
        <w:ind w:left="0" w:firstLine="404" w:firstLineChars="200"/>
        <w:rPr>
          <w:color w:val="auto"/>
          <w:sz w:val="21"/>
          <w:highlight w:val="none"/>
        </w:rPr>
      </w:pPr>
      <w:r>
        <w:rPr>
          <w:color w:val="auto"/>
          <w:spacing w:val="-4"/>
          <w:sz w:val="21"/>
          <w:highlight w:val="none"/>
        </w:rPr>
        <w:t>投标人应按投标人须知前附表规定的时间和形式将提出的问题送达招标人，以便招</w:t>
      </w:r>
      <w:r>
        <w:rPr>
          <w:color w:val="auto"/>
          <w:spacing w:val="-3"/>
          <w:sz w:val="21"/>
          <w:highlight w:val="none"/>
        </w:rPr>
        <w:t>标人在会议期间澄清。</w:t>
      </w:r>
    </w:p>
    <w:p>
      <w:pPr>
        <w:pStyle w:val="38"/>
        <w:numPr>
          <w:ilvl w:val="2"/>
          <w:numId w:val="2"/>
        </w:numPr>
        <w:tabs>
          <w:tab w:val="left" w:pos="1294"/>
        </w:tabs>
        <w:spacing w:line="360" w:lineRule="auto"/>
        <w:ind w:left="0" w:firstLine="404" w:firstLineChars="200"/>
        <w:rPr>
          <w:color w:val="auto"/>
          <w:sz w:val="21"/>
          <w:highlight w:val="none"/>
        </w:rPr>
      </w:pPr>
      <w:r>
        <w:rPr>
          <w:color w:val="auto"/>
          <w:spacing w:val="-4"/>
          <w:sz w:val="21"/>
          <w:highlight w:val="none"/>
        </w:rPr>
        <w:t>投标预备会后，招标人将对投标人所提问题的澄清，以投标人须知前附表规定的形</w:t>
      </w:r>
      <w:r>
        <w:rPr>
          <w:color w:val="auto"/>
          <w:spacing w:val="-3"/>
          <w:sz w:val="21"/>
          <w:highlight w:val="none"/>
        </w:rPr>
        <w:t>式通知所有购买招标文件的投标人。该澄清内容为招标文件的组成部分。</w:t>
      </w:r>
    </w:p>
    <w:p>
      <w:pPr>
        <w:pStyle w:val="5"/>
        <w:numPr>
          <w:ilvl w:val="1"/>
          <w:numId w:val="2"/>
        </w:numPr>
        <w:tabs>
          <w:tab w:val="left" w:pos="997"/>
        </w:tabs>
        <w:spacing w:line="360" w:lineRule="auto"/>
        <w:ind w:left="-440" w:leftChars="-200" w:firstLine="560" w:firstLineChars="200"/>
        <w:rPr>
          <w:color w:val="auto"/>
          <w:highlight w:val="none"/>
        </w:rPr>
      </w:pPr>
      <w:bookmarkStart w:id="53" w:name="_bookmark33"/>
      <w:bookmarkEnd w:id="53"/>
      <w:bookmarkStart w:id="54" w:name="_Toc20074_WPSOffice_Level3"/>
      <w:bookmarkStart w:id="55" w:name="_Toc13983"/>
      <w:r>
        <w:rPr>
          <w:color w:val="auto"/>
          <w:highlight w:val="none"/>
        </w:rPr>
        <w:t>分包</w:t>
      </w:r>
      <w:bookmarkEnd w:id="54"/>
      <w:bookmarkEnd w:id="55"/>
    </w:p>
    <w:p>
      <w:pPr>
        <w:pStyle w:val="38"/>
        <w:numPr>
          <w:ilvl w:val="2"/>
          <w:numId w:val="2"/>
        </w:numPr>
        <w:tabs>
          <w:tab w:val="left" w:pos="1287"/>
        </w:tabs>
        <w:spacing w:line="360" w:lineRule="auto"/>
        <w:ind w:left="0" w:firstLine="408" w:firstLineChars="200"/>
        <w:jc w:val="both"/>
        <w:rPr>
          <w:color w:val="auto"/>
          <w:sz w:val="21"/>
          <w:highlight w:val="none"/>
        </w:rPr>
      </w:pPr>
      <w:r>
        <w:rPr>
          <w:color w:val="auto"/>
          <w:spacing w:val="-3"/>
          <w:sz w:val="21"/>
          <w:highlight w:val="none"/>
        </w:rPr>
        <w:t>投标人拟在中标后将中标项目的非主体、非关键性</w:t>
      </w:r>
      <w:r>
        <w:rPr>
          <w:rFonts w:hint="eastAsia"/>
          <w:color w:val="auto"/>
          <w:spacing w:val="-3"/>
          <w:sz w:val="21"/>
          <w:highlight w:val="none"/>
        </w:rPr>
        <w:t>服务</w:t>
      </w:r>
      <w:r>
        <w:rPr>
          <w:color w:val="auto"/>
          <w:spacing w:val="-3"/>
          <w:sz w:val="21"/>
          <w:highlight w:val="none"/>
        </w:rPr>
        <w:t>工作进行分包的，应符合投</w:t>
      </w:r>
      <w:r>
        <w:rPr>
          <w:color w:val="auto"/>
          <w:spacing w:val="-4"/>
          <w:sz w:val="21"/>
          <w:highlight w:val="none"/>
        </w:rPr>
        <w:t>标人须知前附表规定的分包内容、分包金额和资质要求等限制性条件，除投标人须知前附表规</w:t>
      </w:r>
      <w:r>
        <w:rPr>
          <w:color w:val="auto"/>
          <w:spacing w:val="-3"/>
          <w:sz w:val="21"/>
          <w:highlight w:val="none"/>
        </w:rPr>
        <w:t>定的非主体、非关键性</w:t>
      </w:r>
      <w:r>
        <w:rPr>
          <w:rFonts w:hint="eastAsia"/>
          <w:color w:val="auto"/>
          <w:spacing w:val="-3"/>
          <w:sz w:val="21"/>
          <w:highlight w:val="none"/>
        </w:rPr>
        <w:t>服务</w:t>
      </w:r>
      <w:r>
        <w:rPr>
          <w:color w:val="auto"/>
          <w:spacing w:val="-3"/>
          <w:sz w:val="21"/>
          <w:highlight w:val="none"/>
        </w:rPr>
        <w:t>工作外，其他工作不得分包。</w:t>
      </w:r>
    </w:p>
    <w:p>
      <w:pPr>
        <w:pStyle w:val="38"/>
        <w:numPr>
          <w:ilvl w:val="2"/>
          <w:numId w:val="2"/>
        </w:numPr>
        <w:tabs>
          <w:tab w:val="left" w:pos="1287"/>
        </w:tabs>
        <w:spacing w:line="360" w:lineRule="auto"/>
        <w:ind w:left="0" w:firstLine="404" w:firstLineChars="200"/>
        <w:rPr>
          <w:color w:val="auto"/>
          <w:sz w:val="21"/>
          <w:highlight w:val="none"/>
        </w:rPr>
      </w:pPr>
      <w:r>
        <w:rPr>
          <w:color w:val="auto"/>
          <w:spacing w:val="-4"/>
          <w:sz w:val="21"/>
          <w:highlight w:val="none"/>
        </w:rPr>
        <w:t>中标人不得向他人转让中标项目，接受分包的人不得再次分包。中标人应当就分包</w:t>
      </w:r>
      <w:r>
        <w:rPr>
          <w:color w:val="auto"/>
          <w:spacing w:val="-3"/>
          <w:sz w:val="21"/>
          <w:highlight w:val="none"/>
        </w:rPr>
        <w:t>项目向招标人负责，接受分包的人就分包项目承担连带责任。</w:t>
      </w:r>
    </w:p>
    <w:p>
      <w:pPr>
        <w:pStyle w:val="5"/>
        <w:numPr>
          <w:ilvl w:val="1"/>
          <w:numId w:val="2"/>
        </w:numPr>
        <w:tabs>
          <w:tab w:val="left" w:pos="937"/>
        </w:tabs>
        <w:spacing w:line="360" w:lineRule="auto"/>
        <w:ind w:left="-440" w:leftChars="-200" w:firstLine="560" w:firstLineChars="200"/>
        <w:rPr>
          <w:color w:val="auto"/>
          <w:highlight w:val="none"/>
        </w:rPr>
      </w:pPr>
      <w:bookmarkStart w:id="56" w:name="_bookmark34"/>
      <w:bookmarkEnd w:id="56"/>
      <w:bookmarkStart w:id="57" w:name="_Toc29465"/>
      <w:bookmarkStart w:id="58" w:name="_Toc4888_WPSOffice_Level3"/>
      <w:r>
        <w:rPr>
          <w:color w:val="auto"/>
          <w:highlight w:val="none"/>
        </w:rPr>
        <w:t>响应和偏差</w:t>
      </w:r>
      <w:bookmarkEnd w:id="57"/>
      <w:bookmarkEnd w:id="58"/>
    </w:p>
    <w:p>
      <w:pPr>
        <w:pStyle w:val="38"/>
        <w:numPr>
          <w:ilvl w:val="2"/>
          <w:numId w:val="2"/>
        </w:numPr>
        <w:tabs>
          <w:tab w:val="left" w:pos="1218"/>
        </w:tabs>
        <w:spacing w:line="360" w:lineRule="auto"/>
        <w:ind w:left="0" w:firstLine="408" w:firstLineChars="200"/>
        <w:rPr>
          <w:color w:val="auto"/>
          <w:sz w:val="21"/>
          <w:highlight w:val="none"/>
        </w:rPr>
      </w:pPr>
      <w:r>
        <w:rPr>
          <w:color w:val="auto"/>
          <w:spacing w:val="-3"/>
          <w:sz w:val="21"/>
          <w:highlight w:val="none"/>
        </w:rPr>
        <w:t>投标文件应当对招标文件的实质性要求和条件作出满足性或更有利于招标人的响应， 否则，投标人的投标将被否决。实质性要求和条件见投标人须知前附表。</w:t>
      </w:r>
    </w:p>
    <w:p>
      <w:pPr>
        <w:pStyle w:val="38"/>
        <w:numPr>
          <w:ilvl w:val="2"/>
          <w:numId w:val="2"/>
        </w:numPr>
        <w:tabs>
          <w:tab w:val="left" w:pos="1292"/>
        </w:tabs>
        <w:spacing w:line="360" w:lineRule="auto"/>
        <w:ind w:left="0" w:firstLine="408" w:firstLineChars="200"/>
        <w:rPr>
          <w:color w:val="auto"/>
          <w:sz w:val="21"/>
          <w:highlight w:val="none"/>
        </w:rPr>
      </w:pPr>
      <w:r>
        <w:rPr>
          <w:color w:val="auto"/>
          <w:spacing w:val="-3"/>
          <w:sz w:val="21"/>
          <w:highlight w:val="none"/>
        </w:rPr>
        <w:t>投标人应根据招标文件的要求提供投标方案等内容以对招标文件作出响应。</w:t>
      </w:r>
    </w:p>
    <w:p>
      <w:pPr>
        <w:pStyle w:val="38"/>
        <w:numPr>
          <w:ilvl w:val="2"/>
          <w:numId w:val="2"/>
        </w:numPr>
        <w:tabs>
          <w:tab w:val="left" w:pos="1306"/>
        </w:tabs>
        <w:spacing w:line="360" w:lineRule="auto"/>
        <w:ind w:left="0" w:firstLine="408" w:firstLineChars="200"/>
        <w:rPr>
          <w:color w:val="auto"/>
          <w:sz w:val="21"/>
          <w:highlight w:val="none"/>
        </w:rPr>
      </w:pPr>
      <w:r>
        <w:rPr>
          <w:color w:val="auto"/>
          <w:spacing w:val="-3"/>
          <w:sz w:val="21"/>
          <w:highlight w:val="none"/>
        </w:rPr>
        <w:t>投标人须知前附表允许投标文件偏离招标文件某些要求的，偏差应当符合招标文件规定的偏差范围和幅度。</w:t>
      </w:r>
    </w:p>
    <w:p>
      <w:pPr>
        <w:pStyle w:val="38"/>
        <w:numPr>
          <w:ilvl w:val="0"/>
          <w:numId w:val="2"/>
        </w:numPr>
        <w:tabs>
          <w:tab w:val="left" w:pos="642"/>
        </w:tabs>
        <w:spacing w:line="360" w:lineRule="auto"/>
        <w:ind w:left="-660" w:leftChars="-300" w:firstLine="641" w:firstLineChars="200"/>
        <w:rPr>
          <w:rFonts w:asciiTheme="minorEastAsia" w:hAnsiTheme="minorEastAsia" w:eastAsiaTheme="minorEastAsia"/>
          <w:b/>
          <w:color w:val="auto"/>
          <w:sz w:val="32"/>
          <w:highlight w:val="none"/>
        </w:rPr>
      </w:pPr>
      <w:bookmarkStart w:id="59" w:name="_bookmark35"/>
      <w:bookmarkEnd w:id="59"/>
      <w:bookmarkStart w:id="60" w:name="_Toc20074_WPSOffice_Level2"/>
      <w:r>
        <w:rPr>
          <w:rFonts w:hint="eastAsia" w:asciiTheme="minorEastAsia" w:hAnsiTheme="minorEastAsia" w:eastAsiaTheme="minorEastAsia"/>
          <w:b/>
          <w:color w:val="auto"/>
          <w:sz w:val="32"/>
          <w:highlight w:val="none"/>
        </w:rPr>
        <w:t>招标文件</w:t>
      </w:r>
      <w:bookmarkEnd w:id="60"/>
    </w:p>
    <w:p>
      <w:pPr>
        <w:pStyle w:val="38"/>
        <w:numPr>
          <w:ilvl w:val="1"/>
          <w:numId w:val="2"/>
        </w:numPr>
        <w:tabs>
          <w:tab w:val="left" w:pos="867"/>
        </w:tabs>
        <w:spacing w:line="360" w:lineRule="auto"/>
        <w:ind w:left="-440" w:leftChars="-200" w:firstLine="556" w:firstLineChars="200"/>
        <w:rPr>
          <w:color w:val="auto"/>
          <w:sz w:val="28"/>
          <w:highlight w:val="none"/>
        </w:rPr>
      </w:pPr>
      <w:bookmarkStart w:id="61" w:name="_bookmark36"/>
      <w:bookmarkEnd w:id="61"/>
      <w:bookmarkStart w:id="62" w:name="_Toc27034_WPSOffice_Level3"/>
      <w:r>
        <w:rPr>
          <w:color w:val="auto"/>
          <w:spacing w:val="-1"/>
          <w:sz w:val="28"/>
          <w:highlight w:val="none"/>
        </w:rPr>
        <w:t>招标文件的组成</w:t>
      </w:r>
      <w:bookmarkEnd w:id="62"/>
    </w:p>
    <w:p>
      <w:pPr>
        <w:pStyle w:val="2"/>
        <w:spacing w:line="360" w:lineRule="auto"/>
        <w:ind w:firstLine="420" w:firstLineChars="200"/>
        <w:rPr>
          <w:color w:val="auto"/>
          <w:highlight w:val="none"/>
        </w:rPr>
      </w:pPr>
      <w:r>
        <w:rPr>
          <w:color w:val="auto"/>
          <w:highlight w:val="none"/>
        </w:rPr>
        <w:t>本招标文件包括：</w:t>
      </w:r>
    </w:p>
    <w:p>
      <w:pPr>
        <w:pStyle w:val="38"/>
        <w:numPr>
          <w:ilvl w:val="0"/>
          <w:numId w:val="4"/>
        </w:numPr>
        <w:tabs>
          <w:tab w:val="left" w:pos="1130"/>
        </w:tabs>
        <w:spacing w:line="360" w:lineRule="auto"/>
        <w:ind w:left="0" w:firstLine="408" w:firstLineChars="200"/>
        <w:rPr>
          <w:color w:val="auto"/>
          <w:sz w:val="21"/>
          <w:highlight w:val="none"/>
        </w:rPr>
      </w:pPr>
      <w:r>
        <w:rPr>
          <w:color w:val="auto"/>
          <w:spacing w:val="-3"/>
          <w:sz w:val="21"/>
          <w:highlight w:val="none"/>
        </w:rPr>
        <w:t>招标公告</w:t>
      </w:r>
      <w:r>
        <w:rPr>
          <w:color w:val="auto"/>
          <w:sz w:val="21"/>
          <w:highlight w:val="none"/>
        </w:rPr>
        <w:t>；</w:t>
      </w:r>
    </w:p>
    <w:p>
      <w:pPr>
        <w:pStyle w:val="38"/>
        <w:numPr>
          <w:ilvl w:val="0"/>
          <w:numId w:val="4"/>
        </w:numPr>
        <w:tabs>
          <w:tab w:val="left" w:pos="1130"/>
        </w:tabs>
        <w:spacing w:line="360" w:lineRule="auto"/>
        <w:ind w:left="0" w:firstLine="408" w:firstLineChars="200"/>
        <w:rPr>
          <w:color w:val="auto"/>
          <w:sz w:val="21"/>
          <w:highlight w:val="none"/>
        </w:rPr>
      </w:pPr>
      <w:r>
        <w:rPr>
          <w:color w:val="auto"/>
          <w:spacing w:val="-3"/>
          <w:sz w:val="21"/>
          <w:highlight w:val="none"/>
        </w:rPr>
        <w:t>投标人须知；</w:t>
      </w:r>
    </w:p>
    <w:p>
      <w:pPr>
        <w:pStyle w:val="38"/>
        <w:numPr>
          <w:ilvl w:val="0"/>
          <w:numId w:val="4"/>
        </w:numPr>
        <w:tabs>
          <w:tab w:val="left" w:pos="1130"/>
        </w:tabs>
        <w:spacing w:line="360" w:lineRule="auto"/>
        <w:ind w:left="0" w:firstLine="408" w:firstLineChars="200"/>
        <w:rPr>
          <w:color w:val="auto"/>
          <w:sz w:val="21"/>
          <w:highlight w:val="none"/>
        </w:rPr>
      </w:pPr>
      <w:r>
        <w:rPr>
          <w:color w:val="auto"/>
          <w:spacing w:val="-3"/>
          <w:sz w:val="21"/>
          <w:highlight w:val="none"/>
        </w:rPr>
        <w:t>评标办法；</w:t>
      </w:r>
    </w:p>
    <w:p>
      <w:pPr>
        <w:pStyle w:val="38"/>
        <w:numPr>
          <w:ilvl w:val="0"/>
          <w:numId w:val="4"/>
        </w:numPr>
        <w:tabs>
          <w:tab w:val="left" w:pos="1130"/>
        </w:tabs>
        <w:spacing w:line="360" w:lineRule="auto"/>
        <w:ind w:left="0" w:firstLine="408" w:firstLineChars="200"/>
        <w:rPr>
          <w:color w:val="auto"/>
          <w:sz w:val="21"/>
          <w:highlight w:val="none"/>
        </w:rPr>
      </w:pPr>
      <w:r>
        <w:rPr>
          <w:color w:val="auto"/>
          <w:spacing w:val="-3"/>
          <w:sz w:val="21"/>
          <w:highlight w:val="none"/>
        </w:rPr>
        <w:t>合同条款及格式；</w:t>
      </w:r>
    </w:p>
    <w:p>
      <w:pPr>
        <w:pStyle w:val="38"/>
        <w:numPr>
          <w:ilvl w:val="0"/>
          <w:numId w:val="4"/>
        </w:numPr>
        <w:tabs>
          <w:tab w:val="left" w:pos="1130"/>
        </w:tabs>
        <w:spacing w:line="360" w:lineRule="auto"/>
        <w:ind w:left="0" w:firstLine="408" w:firstLineChars="200"/>
        <w:rPr>
          <w:color w:val="auto"/>
          <w:sz w:val="21"/>
          <w:highlight w:val="none"/>
        </w:rPr>
      </w:pPr>
      <w:r>
        <w:rPr>
          <w:color w:val="auto"/>
          <w:spacing w:val="-3"/>
          <w:sz w:val="21"/>
          <w:highlight w:val="none"/>
        </w:rPr>
        <w:t>发包人要求；</w:t>
      </w:r>
    </w:p>
    <w:p>
      <w:pPr>
        <w:pStyle w:val="38"/>
        <w:numPr>
          <w:ilvl w:val="0"/>
          <w:numId w:val="4"/>
        </w:numPr>
        <w:tabs>
          <w:tab w:val="left" w:pos="1130"/>
        </w:tabs>
        <w:spacing w:line="360" w:lineRule="auto"/>
        <w:ind w:left="0" w:firstLine="408" w:firstLineChars="200"/>
        <w:rPr>
          <w:color w:val="auto"/>
          <w:sz w:val="21"/>
          <w:highlight w:val="none"/>
        </w:rPr>
      </w:pPr>
      <w:r>
        <w:rPr>
          <w:color w:val="auto"/>
          <w:spacing w:val="-3"/>
          <w:sz w:val="21"/>
          <w:highlight w:val="none"/>
        </w:rPr>
        <w:t>投标文件格式。</w:t>
      </w:r>
    </w:p>
    <w:p>
      <w:pPr>
        <w:pStyle w:val="2"/>
        <w:spacing w:line="360" w:lineRule="auto"/>
        <w:ind w:firstLine="420" w:firstLineChars="200"/>
        <w:rPr>
          <w:color w:val="auto"/>
          <w:highlight w:val="none"/>
        </w:rPr>
      </w:pPr>
      <w:r>
        <w:rPr>
          <w:color w:val="auto"/>
          <w:highlight w:val="none"/>
        </w:rPr>
        <w:t xml:space="preserve">根据本章第 </w:t>
      </w:r>
      <w:r>
        <w:rPr>
          <w:rFonts w:ascii="Times New Roman" w:eastAsia="Times New Roman"/>
          <w:color w:val="auto"/>
          <w:highlight w:val="none"/>
        </w:rPr>
        <w:t xml:space="preserve">1.10 </w:t>
      </w:r>
      <w:r>
        <w:rPr>
          <w:color w:val="auto"/>
          <w:highlight w:val="none"/>
        </w:rPr>
        <w:t xml:space="preserve">款、第 </w:t>
      </w:r>
      <w:r>
        <w:rPr>
          <w:rFonts w:ascii="Times New Roman" w:eastAsia="Times New Roman"/>
          <w:color w:val="auto"/>
          <w:highlight w:val="none"/>
        </w:rPr>
        <w:t xml:space="preserve">2.2 </w:t>
      </w:r>
      <w:r>
        <w:rPr>
          <w:color w:val="auto"/>
          <w:highlight w:val="none"/>
        </w:rPr>
        <w:t xml:space="preserve">款和第 </w:t>
      </w:r>
      <w:r>
        <w:rPr>
          <w:rFonts w:ascii="Times New Roman" w:eastAsia="Times New Roman"/>
          <w:color w:val="auto"/>
          <w:highlight w:val="none"/>
        </w:rPr>
        <w:t xml:space="preserve">2.3 </w:t>
      </w:r>
      <w:r>
        <w:rPr>
          <w:color w:val="auto"/>
          <w:highlight w:val="none"/>
        </w:rPr>
        <w:t>款对招标文件所作的澄清、修改，构成招标文件的组成部分。</w:t>
      </w:r>
    </w:p>
    <w:p>
      <w:pPr>
        <w:pStyle w:val="38"/>
        <w:numPr>
          <w:ilvl w:val="1"/>
          <w:numId w:val="2"/>
        </w:numPr>
        <w:tabs>
          <w:tab w:val="left" w:pos="867"/>
        </w:tabs>
        <w:spacing w:line="360" w:lineRule="auto"/>
        <w:ind w:left="-440" w:leftChars="-200" w:firstLine="556" w:firstLineChars="200"/>
        <w:rPr>
          <w:color w:val="auto"/>
          <w:sz w:val="28"/>
          <w:highlight w:val="none"/>
        </w:rPr>
      </w:pPr>
      <w:bookmarkStart w:id="63" w:name="_bookmark37"/>
      <w:bookmarkEnd w:id="63"/>
      <w:bookmarkStart w:id="64" w:name="_Toc26400_WPSOffice_Level3"/>
      <w:r>
        <w:rPr>
          <w:color w:val="auto"/>
          <w:spacing w:val="-1"/>
          <w:sz w:val="28"/>
          <w:highlight w:val="none"/>
        </w:rPr>
        <w:t>招标文件的澄清</w:t>
      </w:r>
      <w:bookmarkEnd w:id="64"/>
    </w:p>
    <w:p>
      <w:pPr>
        <w:pStyle w:val="38"/>
        <w:numPr>
          <w:ilvl w:val="2"/>
          <w:numId w:val="2"/>
        </w:numPr>
        <w:tabs>
          <w:tab w:val="left" w:pos="1186"/>
        </w:tabs>
        <w:spacing w:line="360" w:lineRule="auto"/>
        <w:ind w:left="0" w:firstLine="392" w:firstLineChars="200"/>
        <w:jc w:val="both"/>
        <w:rPr>
          <w:color w:val="auto"/>
          <w:sz w:val="21"/>
          <w:highlight w:val="none"/>
        </w:rPr>
      </w:pPr>
      <w:r>
        <w:rPr>
          <w:rFonts w:hint="eastAsia"/>
          <w:color w:val="auto"/>
          <w:spacing w:val="-7"/>
          <w:sz w:val="21"/>
          <w:highlight w:val="none"/>
        </w:rPr>
        <w:t>投标人应仔细阅读和检查招标文件的全部内容。如发现缺页或附件不全，应在规定时间内向招标人提出，以便补齐。如有疑问，应在投标人须知前附表规定的时间前向招标人提出需澄清的问题，要求招标人对招标文件予以澄清。</w:t>
      </w:r>
    </w:p>
    <w:p>
      <w:pPr>
        <w:pStyle w:val="38"/>
        <w:numPr>
          <w:ilvl w:val="2"/>
          <w:numId w:val="2"/>
        </w:numPr>
        <w:tabs>
          <w:tab w:val="left" w:pos="1134"/>
        </w:tabs>
        <w:spacing w:line="360" w:lineRule="auto"/>
        <w:ind w:left="0" w:firstLine="404" w:firstLineChars="200"/>
        <w:jc w:val="both"/>
        <w:rPr>
          <w:color w:val="auto"/>
          <w:sz w:val="21"/>
          <w:highlight w:val="none"/>
        </w:rPr>
      </w:pPr>
      <w:r>
        <w:rPr>
          <w:rFonts w:hint="eastAsia"/>
          <w:color w:val="auto"/>
          <w:spacing w:val="-4"/>
          <w:sz w:val="21"/>
          <w:highlight w:val="none"/>
        </w:rPr>
        <w:t>招标文件的澄清将在投标人须知前附表规定的投标截止时间15天前发布，但不指明澄清问题的来源。如果澄清发出的时间距投标截止时间不足15天，相应延长投标截止时间</w:t>
      </w:r>
      <w:r>
        <w:rPr>
          <w:color w:val="auto"/>
          <w:spacing w:val="-3"/>
          <w:sz w:val="21"/>
          <w:highlight w:val="none"/>
        </w:rPr>
        <w:t>。</w:t>
      </w:r>
    </w:p>
    <w:p>
      <w:pPr>
        <w:pStyle w:val="38"/>
        <w:numPr>
          <w:ilvl w:val="2"/>
          <w:numId w:val="2"/>
        </w:numPr>
        <w:tabs>
          <w:tab w:val="left" w:pos="1186"/>
        </w:tabs>
        <w:spacing w:line="360" w:lineRule="auto"/>
        <w:ind w:left="0" w:firstLine="388" w:firstLineChars="200"/>
        <w:jc w:val="both"/>
        <w:rPr>
          <w:color w:val="auto"/>
          <w:sz w:val="21"/>
          <w:highlight w:val="none"/>
        </w:rPr>
      </w:pPr>
      <w:r>
        <w:rPr>
          <w:rFonts w:hint="eastAsia"/>
          <w:color w:val="auto"/>
          <w:spacing w:val="-8"/>
          <w:sz w:val="21"/>
          <w:highlight w:val="none"/>
        </w:rPr>
        <w:t>投标人因任何原因未上网查阅、下载澄清文件造成的一切后果自行负责</w:t>
      </w:r>
      <w:r>
        <w:rPr>
          <w:color w:val="auto"/>
          <w:spacing w:val="-5"/>
          <w:sz w:val="21"/>
          <w:highlight w:val="none"/>
        </w:rPr>
        <w:t>。</w:t>
      </w:r>
    </w:p>
    <w:p>
      <w:pPr>
        <w:pStyle w:val="38"/>
        <w:numPr>
          <w:ilvl w:val="2"/>
          <w:numId w:val="2"/>
        </w:numPr>
        <w:tabs>
          <w:tab w:val="left" w:pos="1186"/>
        </w:tabs>
        <w:spacing w:line="360" w:lineRule="auto"/>
        <w:ind w:left="0" w:firstLine="404" w:firstLineChars="200"/>
        <w:jc w:val="both"/>
        <w:rPr>
          <w:color w:val="auto"/>
          <w:sz w:val="21"/>
          <w:highlight w:val="none"/>
        </w:rPr>
      </w:pPr>
      <w:r>
        <w:rPr>
          <w:rFonts w:hint="eastAsia"/>
          <w:color w:val="auto"/>
          <w:spacing w:val="-4"/>
          <w:sz w:val="21"/>
          <w:highlight w:val="none"/>
        </w:rPr>
        <w:t>除非招标人认为确有必要答复，否则，招标人有权拒绝回复投标人在本章第2.2.1项规定的时间后的任何澄清要求</w:t>
      </w:r>
      <w:r>
        <w:rPr>
          <w:color w:val="auto"/>
          <w:spacing w:val="-3"/>
          <w:sz w:val="21"/>
          <w:highlight w:val="none"/>
        </w:rPr>
        <w:t>。</w:t>
      </w:r>
    </w:p>
    <w:p>
      <w:pPr>
        <w:pStyle w:val="38"/>
        <w:numPr>
          <w:ilvl w:val="1"/>
          <w:numId w:val="2"/>
        </w:numPr>
        <w:tabs>
          <w:tab w:val="left" w:pos="867"/>
        </w:tabs>
        <w:spacing w:line="360" w:lineRule="auto"/>
        <w:ind w:left="-440" w:leftChars="-200" w:firstLine="556" w:firstLineChars="200"/>
        <w:rPr>
          <w:color w:val="auto"/>
          <w:sz w:val="28"/>
          <w:highlight w:val="none"/>
        </w:rPr>
      </w:pPr>
      <w:bookmarkStart w:id="65" w:name="_bookmark38"/>
      <w:bookmarkEnd w:id="65"/>
      <w:bookmarkStart w:id="66" w:name="_Toc24409_WPSOffice_Level3"/>
      <w:r>
        <w:rPr>
          <w:color w:val="auto"/>
          <w:spacing w:val="-1"/>
          <w:sz w:val="28"/>
          <w:highlight w:val="none"/>
        </w:rPr>
        <w:t>招标文件的修改</w:t>
      </w:r>
      <w:bookmarkEnd w:id="66"/>
    </w:p>
    <w:p>
      <w:pPr>
        <w:pStyle w:val="38"/>
        <w:numPr>
          <w:ilvl w:val="2"/>
          <w:numId w:val="2"/>
        </w:numPr>
        <w:tabs>
          <w:tab w:val="left" w:pos="1134"/>
        </w:tabs>
        <w:spacing w:line="360" w:lineRule="auto"/>
        <w:ind w:left="0" w:firstLine="404" w:firstLineChars="200"/>
        <w:jc w:val="both"/>
        <w:rPr>
          <w:color w:val="auto"/>
          <w:sz w:val="21"/>
          <w:highlight w:val="none"/>
        </w:rPr>
      </w:pPr>
      <w:r>
        <w:rPr>
          <w:rFonts w:hint="eastAsia"/>
          <w:color w:val="auto"/>
          <w:spacing w:val="-4"/>
          <w:sz w:val="21"/>
          <w:highlight w:val="none"/>
        </w:rPr>
        <w:t>在投标截止时间15天前，招标人可以书面形式修改招标文件。如果修改招标文件的时间距投标截止时间不足15天，相应延长投标截止时间</w:t>
      </w:r>
      <w:r>
        <w:rPr>
          <w:color w:val="auto"/>
          <w:spacing w:val="-3"/>
          <w:sz w:val="21"/>
          <w:highlight w:val="none"/>
        </w:rPr>
        <w:t>。</w:t>
      </w:r>
    </w:p>
    <w:p>
      <w:pPr>
        <w:pStyle w:val="38"/>
        <w:numPr>
          <w:ilvl w:val="2"/>
          <w:numId w:val="2"/>
        </w:numPr>
        <w:tabs>
          <w:tab w:val="left" w:pos="1186"/>
        </w:tabs>
        <w:spacing w:line="360" w:lineRule="auto"/>
        <w:ind w:left="0" w:firstLine="388" w:firstLineChars="200"/>
        <w:jc w:val="both"/>
        <w:rPr>
          <w:color w:val="auto"/>
          <w:sz w:val="21"/>
          <w:highlight w:val="none"/>
        </w:rPr>
      </w:pPr>
      <w:r>
        <w:rPr>
          <w:rFonts w:hint="eastAsia"/>
          <w:color w:val="auto"/>
          <w:spacing w:val="-8"/>
          <w:sz w:val="21"/>
          <w:highlight w:val="none"/>
        </w:rPr>
        <w:t>投标人因任何原因未上网查阅、下载修改文件造成的一切后果自行负责</w:t>
      </w:r>
      <w:r>
        <w:rPr>
          <w:color w:val="auto"/>
          <w:spacing w:val="-5"/>
          <w:sz w:val="21"/>
          <w:highlight w:val="none"/>
        </w:rPr>
        <w:t>。</w:t>
      </w:r>
    </w:p>
    <w:p>
      <w:pPr>
        <w:pStyle w:val="38"/>
        <w:numPr>
          <w:ilvl w:val="1"/>
          <w:numId w:val="2"/>
        </w:numPr>
        <w:tabs>
          <w:tab w:val="left" w:pos="867"/>
        </w:tabs>
        <w:spacing w:line="360" w:lineRule="auto"/>
        <w:ind w:left="-440" w:leftChars="-200" w:firstLine="556" w:firstLineChars="200"/>
        <w:rPr>
          <w:color w:val="auto"/>
          <w:sz w:val="28"/>
          <w:highlight w:val="none"/>
        </w:rPr>
      </w:pPr>
      <w:bookmarkStart w:id="67" w:name="_bookmark39"/>
      <w:bookmarkEnd w:id="67"/>
      <w:bookmarkStart w:id="68" w:name="_Toc2174_WPSOffice_Level3"/>
      <w:r>
        <w:rPr>
          <w:color w:val="auto"/>
          <w:spacing w:val="-1"/>
          <w:sz w:val="28"/>
          <w:highlight w:val="none"/>
        </w:rPr>
        <w:t>招标文件的异议</w:t>
      </w:r>
      <w:bookmarkEnd w:id="68"/>
    </w:p>
    <w:p>
      <w:pPr>
        <w:pStyle w:val="2"/>
        <w:spacing w:line="360" w:lineRule="auto"/>
        <w:ind w:firstLine="420" w:firstLineChars="200"/>
        <w:rPr>
          <w:color w:val="auto"/>
          <w:highlight w:val="none"/>
        </w:rPr>
      </w:pPr>
      <w:r>
        <w:rPr>
          <w:rFonts w:hint="eastAsia"/>
          <w:color w:val="auto"/>
          <w:highlight w:val="none"/>
        </w:rPr>
        <w:t>投标人或者其他利害关系人对招标文件有异议的，应当在投标截止时间10日前提出。招标人将在收到异议之日起3日内作出答复；作出答复前，将暂停招标投标活动</w:t>
      </w:r>
      <w:r>
        <w:rPr>
          <w:color w:val="auto"/>
          <w:highlight w:val="none"/>
        </w:rPr>
        <w:t>。</w:t>
      </w:r>
    </w:p>
    <w:p>
      <w:pPr>
        <w:pStyle w:val="38"/>
        <w:numPr>
          <w:ilvl w:val="0"/>
          <w:numId w:val="2"/>
        </w:numPr>
        <w:tabs>
          <w:tab w:val="left" w:pos="642"/>
        </w:tabs>
        <w:spacing w:line="360" w:lineRule="auto"/>
        <w:ind w:left="-440" w:leftChars="-200" w:firstLine="641" w:firstLineChars="200"/>
        <w:rPr>
          <w:rFonts w:asciiTheme="minorEastAsia" w:hAnsiTheme="minorEastAsia" w:eastAsiaTheme="minorEastAsia"/>
          <w:b/>
          <w:color w:val="auto"/>
          <w:sz w:val="32"/>
          <w:highlight w:val="none"/>
        </w:rPr>
      </w:pPr>
      <w:bookmarkStart w:id="69" w:name="_bookmark40"/>
      <w:bookmarkEnd w:id="69"/>
      <w:bookmarkStart w:id="70" w:name="_Toc4888_WPSOffice_Level2"/>
      <w:r>
        <w:rPr>
          <w:rFonts w:hint="eastAsia" w:asciiTheme="minorEastAsia" w:hAnsiTheme="minorEastAsia" w:eastAsiaTheme="minorEastAsia"/>
          <w:b/>
          <w:color w:val="auto"/>
          <w:sz w:val="32"/>
          <w:highlight w:val="none"/>
        </w:rPr>
        <w:t>投标文件</w:t>
      </w:r>
      <w:bookmarkEnd w:id="70"/>
    </w:p>
    <w:p>
      <w:pPr>
        <w:pStyle w:val="38"/>
        <w:numPr>
          <w:ilvl w:val="1"/>
          <w:numId w:val="2"/>
        </w:numPr>
        <w:tabs>
          <w:tab w:val="left" w:pos="867"/>
        </w:tabs>
        <w:spacing w:line="360" w:lineRule="auto"/>
        <w:ind w:left="-440" w:leftChars="-200" w:firstLine="556" w:firstLineChars="200"/>
        <w:rPr>
          <w:color w:val="auto"/>
          <w:sz w:val="28"/>
          <w:highlight w:val="none"/>
        </w:rPr>
      </w:pPr>
      <w:bookmarkStart w:id="71" w:name="_bookmark41"/>
      <w:bookmarkEnd w:id="71"/>
      <w:bookmarkStart w:id="72" w:name="_Toc27414_WPSOffice_Level3"/>
      <w:r>
        <w:rPr>
          <w:color w:val="auto"/>
          <w:spacing w:val="-1"/>
          <w:sz w:val="28"/>
          <w:highlight w:val="none"/>
        </w:rPr>
        <w:t>投标文件的组成</w:t>
      </w:r>
      <w:bookmarkEnd w:id="72"/>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投标文件应包括下列内容：</w:t>
      </w:r>
    </w:p>
    <w:p>
      <w:pPr>
        <w:pStyle w:val="38"/>
        <w:numPr>
          <w:ilvl w:val="0"/>
          <w:numId w:val="5"/>
        </w:numPr>
        <w:tabs>
          <w:tab w:val="left" w:pos="1190"/>
        </w:tabs>
        <w:spacing w:line="360" w:lineRule="auto"/>
        <w:ind w:left="0" w:firstLine="408" w:firstLineChars="200"/>
        <w:rPr>
          <w:color w:val="auto"/>
          <w:spacing w:val="-3"/>
          <w:sz w:val="21"/>
          <w:highlight w:val="none"/>
        </w:rPr>
      </w:pPr>
      <w:r>
        <w:rPr>
          <w:color w:val="auto"/>
          <w:spacing w:val="-3"/>
          <w:sz w:val="21"/>
          <w:highlight w:val="none"/>
        </w:rPr>
        <w:t>投标函</w:t>
      </w:r>
    </w:p>
    <w:p>
      <w:pPr>
        <w:pStyle w:val="38"/>
        <w:numPr>
          <w:ilvl w:val="0"/>
          <w:numId w:val="5"/>
        </w:numPr>
        <w:tabs>
          <w:tab w:val="left" w:pos="1190"/>
        </w:tabs>
        <w:spacing w:line="360" w:lineRule="auto"/>
        <w:ind w:left="0" w:firstLine="408" w:firstLineChars="200"/>
        <w:rPr>
          <w:color w:val="auto"/>
          <w:spacing w:val="-3"/>
          <w:sz w:val="21"/>
          <w:highlight w:val="none"/>
        </w:rPr>
      </w:pPr>
      <w:r>
        <w:rPr>
          <w:color w:val="auto"/>
          <w:spacing w:val="-3"/>
          <w:sz w:val="21"/>
          <w:highlight w:val="none"/>
        </w:rPr>
        <w:t>法定代表人身份证明</w:t>
      </w:r>
    </w:p>
    <w:p>
      <w:pPr>
        <w:pStyle w:val="38"/>
        <w:numPr>
          <w:ilvl w:val="0"/>
          <w:numId w:val="5"/>
        </w:numPr>
        <w:tabs>
          <w:tab w:val="left" w:pos="1190"/>
        </w:tabs>
        <w:spacing w:line="360" w:lineRule="auto"/>
        <w:ind w:left="0" w:firstLine="408" w:firstLineChars="200"/>
        <w:rPr>
          <w:color w:val="auto"/>
          <w:spacing w:val="-3"/>
          <w:sz w:val="21"/>
          <w:highlight w:val="none"/>
        </w:rPr>
      </w:pPr>
      <w:r>
        <w:rPr>
          <w:color w:val="auto"/>
          <w:spacing w:val="-3"/>
          <w:sz w:val="21"/>
          <w:highlight w:val="none"/>
        </w:rPr>
        <w:t>授权委托书</w:t>
      </w:r>
    </w:p>
    <w:p>
      <w:pPr>
        <w:pStyle w:val="38"/>
        <w:numPr>
          <w:ilvl w:val="0"/>
          <w:numId w:val="5"/>
        </w:numPr>
        <w:tabs>
          <w:tab w:val="left" w:pos="1190"/>
        </w:tabs>
        <w:spacing w:line="360" w:lineRule="auto"/>
        <w:ind w:left="0" w:firstLine="408" w:firstLineChars="200"/>
        <w:rPr>
          <w:color w:val="auto"/>
          <w:spacing w:val="-3"/>
          <w:sz w:val="21"/>
          <w:highlight w:val="none"/>
        </w:rPr>
      </w:pPr>
      <w:r>
        <w:rPr>
          <w:color w:val="auto"/>
          <w:spacing w:val="-3"/>
          <w:sz w:val="21"/>
          <w:highlight w:val="none"/>
        </w:rPr>
        <w:t>投标人基本情况表</w:t>
      </w:r>
    </w:p>
    <w:p>
      <w:pPr>
        <w:pStyle w:val="38"/>
        <w:numPr>
          <w:ilvl w:val="0"/>
          <w:numId w:val="5"/>
        </w:numPr>
        <w:tabs>
          <w:tab w:val="left" w:pos="1190"/>
        </w:tabs>
        <w:spacing w:line="360" w:lineRule="auto"/>
        <w:ind w:left="0" w:firstLine="408" w:firstLineChars="200"/>
        <w:rPr>
          <w:color w:val="auto"/>
          <w:spacing w:val="-3"/>
          <w:sz w:val="21"/>
          <w:highlight w:val="none"/>
        </w:rPr>
      </w:pPr>
      <w:r>
        <w:rPr>
          <w:rFonts w:hint="eastAsia"/>
          <w:color w:val="auto"/>
          <w:spacing w:val="-3"/>
          <w:sz w:val="21"/>
          <w:highlight w:val="none"/>
        </w:rPr>
        <w:t>近年完成的项目业绩一览表</w:t>
      </w:r>
    </w:p>
    <w:p>
      <w:pPr>
        <w:pStyle w:val="38"/>
        <w:numPr>
          <w:ilvl w:val="0"/>
          <w:numId w:val="5"/>
        </w:numPr>
        <w:tabs>
          <w:tab w:val="left" w:pos="1190"/>
        </w:tabs>
        <w:spacing w:line="360" w:lineRule="auto"/>
        <w:ind w:left="0" w:firstLine="408" w:firstLineChars="200"/>
        <w:rPr>
          <w:color w:val="auto"/>
          <w:spacing w:val="-3"/>
          <w:sz w:val="21"/>
          <w:highlight w:val="none"/>
        </w:rPr>
      </w:pPr>
      <w:r>
        <w:rPr>
          <w:rFonts w:hint="eastAsia"/>
          <w:color w:val="auto"/>
          <w:spacing w:val="-3"/>
          <w:sz w:val="21"/>
          <w:highlight w:val="none"/>
        </w:rPr>
        <w:t>项目管理机构</w:t>
      </w:r>
    </w:p>
    <w:p>
      <w:pPr>
        <w:pStyle w:val="38"/>
        <w:numPr>
          <w:ilvl w:val="0"/>
          <w:numId w:val="5"/>
        </w:numPr>
        <w:tabs>
          <w:tab w:val="left" w:pos="1190"/>
        </w:tabs>
        <w:spacing w:line="360" w:lineRule="auto"/>
        <w:ind w:left="0" w:firstLine="408" w:firstLineChars="200"/>
        <w:rPr>
          <w:color w:val="auto"/>
          <w:spacing w:val="-3"/>
          <w:sz w:val="21"/>
          <w:highlight w:val="none"/>
        </w:rPr>
      </w:pPr>
      <w:r>
        <w:rPr>
          <w:rFonts w:hint="eastAsia"/>
          <w:bCs/>
          <w:color w:val="auto"/>
          <w:spacing w:val="-3"/>
          <w:sz w:val="21"/>
          <w:highlight w:val="none"/>
          <w:lang w:val="en-US"/>
        </w:rPr>
        <w:t>服务方案</w:t>
      </w:r>
    </w:p>
    <w:p>
      <w:pPr>
        <w:pStyle w:val="38"/>
        <w:numPr>
          <w:ilvl w:val="0"/>
          <w:numId w:val="5"/>
        </w:numPr>
        <w:tabs>
          <w:tab w:val="left" w:pos="1190"/>
        </w:tabs>
        <w:spacing w:line="360" w:lineRule="auto"/>
        <w:ind w:left="0" w:firstLine="408" w:firstLineChars="200"/>
        <w:rPr>
          <w:color w:val="auto"/>
          <w:spacing w:val="-3"/>
          <w:sz w:val="21"/>
          <w:highlight w:val="none"/>
          <w:lang w:val="en-US"/>
        </w:rPr>
      </w:pPr>
      <w:r>
        <w:rPr>
          <w:rFonts w:hint="eastAsia"/>
          <w:color w:val="auto"/>
          <w:spacing w:val="-3"/>
          <w:sz w:val="21"/>
          <w:highlight w:val="none"/>
        </w:rPr>
        <w:t>投标保证金</w:t>
      </w:r>
    </w:p>
    <w:p>
      <w:pPr>
        <w:pStyle w:val="38"/>
        <w:numPr>
          <w:ilvl w:val="0"/>
          <w:numId w:val="5"/>
        </w:numPr>
        <w:tabs>
          <w:tab w:val="left" w:pos="1190"/>
        </w:tabs>
        <w:spacing w:line="360" w:lineRule="auto"/>
        <w:ind w:left="0" w:firstLine="408" w:firstLineChars="200"/>
        <w:rPr>
          <w:color w:val="auto"/>
          <w:sz w:val="21"/>
          <w:highlight w:val="none"/>
        </w:rPr>
      </w:pPr>
      <w:r>
        <w:rPr>
          <w:rFonts w:hint="eastAsia"/>
          <w:color w:val="auto"/>
          <w:spacing w:val="-3"/>
          <w:sz w:val="21"/>
          <w:highlight w:val="none"/>
        </w:rPr>
        <w:t>本招标文件要求的其他材料</w:t>
      </w:r>
    </w:p>
    <w:p>
      <w:pPr>
        <w:pStyle w:val="2"/>
        <w:spacing w:line="360" w:lineRule="auto"/>
        <w:ind w:firstLine="420" w:firstLineChars="200"/>
        <w:rPr>
          <w:color w:val="auto"/>
          <w:highlight w:val="none"/>
        </w:rPr>
      </w:pPr>
      <w:r>
        <w:rPr>
          <w:color w:val="auto"/>
          <w:highlight w:val="none"/>
        </w:rPr>
        <w:t>投标人在评标过程中作出的符合法律法规和招标文件规定的澄清确认，构成投标文件的组成部分。</w:t>
      </w:r>
    </w:p>
    <w:p>
      <w:pPr>
        <w:pStyle w:val="38"/>
        <w:numPr>
          <w:ilvl w:val="2"/>
          <w:numId w:val="2"/>
        </w:numPr>
        <w:tabs>
          <w:tab w:val="left" w:pos="1126"/>
        </w:tabs>
        <w:spacing w:line="360" w:lineRule="auto"/>
        <w:ind w:left="0" w:firstLine="408" w:firstLineChars="200"/>
        <w:jc w:val="both"/>
        <w:rPr>
          <w:color w:val="auto"/>
          <w:sz w:val="21"/>
          <w:highlight w:val="none"/>
        </w:rPr>
      </w:pPr>
      <w:r>
        <w:rPr>
          <w:color w:val="auto"/>
          <w:spacing w:val="-3"/>
          <w:sz w:val="21"/>
          <w:highlight w:val="none"/>
        </w:rPr>
        <w:t xml:space="preserve">投标人须知前附表未要求提交投标保证金的，投标文件不包括本章第 </w:t>
      </w:r>
      <w:r>
        <w:rPr>
          <w:rFonts w:ascii="Times New Roman" w:eastAsia="Times New Roman"/>
          <w:color w:val="auto"/>
          <w:sz w:val="21"/>
          <w:highlight w:val="none"/>
        </w:rPr>
        <w:t>3.1.1</w:t>
      </w:r>
      <w:r>
        <w:rPr>
          <w:color w:val="auto"/>
          <w:sz w:val="21"/>
          <w:highlight w:val="none"/>
        </w:rPr>
        <w:t>（</w:t>
      </w:r>
      <w:r>
        <w:rPr>
          <w:rFonts w:ascii="Times New Roman" w:eastAsia="Times New Roman"/>
          <w:color w:val="auto"/>
          <w:sz w:val="21"/>
          <w:highlight w:val="none"/>
        </w:rPr>
        <w:t>4</w:t>
      </w:r>
      <w:r>
        <w:rPr>
          <w:color w:val="auto"/>
          <w:sz w:val="21"/>
          <w:highlight w:val="none"/>
        </w:rPr>
        <w:t>）</w:t>
      </w:r>
      <w:r>
        <w:rPr>
          <w:color w:val="auto"/>
          <w:spacing w:val="-2"/>
          <w:sz w:val="21"/>
          <w:highlight w:val="none"/>
        </w:rPr>
        <w:t>目所</w:t>
      </w:r>
      <w:r>
        <w:rPr>
          <w:color w:val="auto"/>
          <w:spacing w:val="-3"/>
          <w:sz w:val="21"/>
          <w:highlight w:val="none"/>
        </w:rPr>
        <w:t>指的投标保证金。</w:t>
      </w:r>
    </w:p>
    <w:p>
      <w:pPr>
        <w:pStyle w:val="5"/>
        <w:numPr>
          <w:ilvl w:val="1"/>
          <w:numId w:val="2"/>
        </w:numPr>
        <w:tabs>
          <w:tab w:val="left" w:pos="867"/>
        </w:tabs>
        <w:spacing w:line="360" w:lineRule="auto"/>
        <w:ind w:left="-440" w:leftChars="-200" w:firstLine="560" w:firstLineChars="200"/>
        <w:rPr>
          <w:color w:val="auto"/>
          <w:highlight w:val="none"/>
        </w:rPr>
      </w:pPr>
      <w:bookmarkStart w:id="73" w:name="_bookmark42"/>
      <w:bookmarkEnd w:id="73"/>
      <w:bookmarkStart w:id="74" w:name="_Toc19332"/>
      <w:bookmarkStart w:id="75" w:name="_Toc12012_WPSOffice_Level3"/>
      <w:r>
        <w:rPr>
          <w:color w:val="auto"/>
          <w:highlight w:val="none"/>
        </w:rPr>
        <w:t>投标报价</w:t>
      </w:r>
      <w:bookmarkEnd w:id="74"/>
      <w:bookmarkEnd w:id="75"/>
    </w:p>
    <w:p>
      <w:pPr>
        <w:pStyle w:val="38"/>
        <w:numPr>
          <w:ilvl w:val="2"/>
          <w:numId w:val="2"/>
        </w:numPr>
        <w:tabs>
          <w:tab w:val="left" w:pos="1134"/>
        </w:tabs>
        <w:spacing w:line="360" w:lineRule="auto"/>
        <w:ind w:left="0" w:firstLine="400" w:firstLineChars="200"/>
        <w:jc w:val="both"/>
        <w:rPr>
          <w:color w:val="auto"/>
          <w:sz w:val="21"/>
          <w:highlight w:val="none"/>
        </w:rPr>
      </w:pPr>
      <w:r>
        <w:rPr>
          <w:color w:val="auto"/>
          <w:spacing w:val="-5"/>
          <w:sz w:val="21"/>
          <w:highlight w:val="none"/>
        </w:rPr>
        <w:t>投标报价应包括国家规定的增值税税金，除投标人须知前附表另有规定外，增值税税金按一般计税方法计算。投标人应按第六章</w:t>
      </w:r>
      <w:r>
        <w:rPr>
          <w:rFonts w:ascii="Times New Roman" w:hAnsi="Times New Roman" w:eastAsia="Times New Roman"/>
          <w:color w:val="auto"/>
          <w:sz w:val="21"/>
          <w:highlight w:val="none"/>
        </w:rPr>
        <w:t>“</w:t>
      </w:r>
      <w:r>
        <w:rPr>
          <w:color w:val="auto"/>
          <w:sz w:val="21"/>
          <w:highlight w:val="none"/>
        </w:rPr>
        <w:t>投标文件格式</w:t>
      </w:r>
      <w:r>
        <w:rPr>
          <w:rFonts w:ascii="Times New Roman" w:hAnsi="Times New Roman" w:eastAsia="Times New Roman"/>
          <w:color w:val="auto"/>
          <w:sz w:val="21"/>
          <w:highlight w:val="none"/>
        </w:rPr>
        <w:t>”</w:t>
      </w:r>
      <w:r>
        <w:rPr>
          <w:color w:val="auto"/>
          <w:spacing w:val="-1"/>
          <w:sz w:val="21"/>
          <w:highlight w:val="none"/>
        </w:rPr>
        <w:t>的要求在投标函中进行报价并填写</w:t>
      </w:r>
      <w:r>
        <w:rPr>
          <w:color w:val="auto"/>
          <w:spacing w:val="-2"/>
          <w:sz w:val="21"/>
          <w:highlight w:val="none"/>
        </w:rPr>
        <w:t>费用清单。</w:t>
      </w:r>
    </w:p>
    <w:p>
      <w:pPr>
        <w:pStyle w:val="38"/>
        <w:numPr>
          <w:ilvl w:val="2"/>
          <w:numId w:val="2"/>
        </w:numPr>
        <w:tabs>
          <w:tab w:val="left" w:pos="1186"/>
        </w:tabs>
        <w:spacing w:line="360" w:lineRule="auto"/>
        <w:ind w:left="0" w:firstLine="408" w:firstLineChars="200"/>
        <w:jc w:val="both"/>
        <w:rPr>
          <w:color w:val="auto"/>
          <w:sz w:val="21"/>
          <w:highlight w:val="none"/>
        </w:rPr>
      </w:pPr>
      <w:r>
        <w:rPr>
          <w:color w:val="auto"/>
          <w:spacing w:val="-3"/>
          <w:sz w:val="21"/>
          <w:highlight w:val="none"/>
        </w:rPr>
        <w:t>投标人应充分了解该项目的总体情况以及影响投标报价的其他要素。</w:t>
      </w:r>
    </w:p>
    <w:p>
      <w:pPr>
        <w:pStyle w:val="38"/>
        <w:numPr>
          <w:ilvl w:val="2"/>
          <w:numId w:val="2"/>
        </w:numPr>
        <w:tabs>
          <w:tab w:val="left" w:pos="1186"/>
        </w:tabs>
        <w:spacing w:line="360" w:lineRule="auto"/>
        <w:ind w:left="0" w:firstLine="392" w:firstLineChars="200"/>
        <w:jc w:val="both"/>
        <w:rPr>
          <w:color w:val="auto"/>
          <w:sz w:val="21"/>
          <w:highlight w:val="none"/>
        </w:rPr>
      </w:pPr>
      <w:r>
        <w:rPr>
          <w:color w:val="auto"/>
          <w:spacing w:val="-7"/>
          <w:sz w:val="21"/>
          <w:highlight w:val="none"/>
        </w:rPr>
        <w:t>本项目的报价方式见投标人须知前附表。投标人在投标截止时间前修改投标函中的投</w:t>
      </w:r>
      <w:r>
        <w:rPr>
          <w:color w:val="auto"/>
          <w:spacing w:val="-10"/>
          <w:sz w:val="21"/>
          <w:highlight w:val="none"/>
        </w:rPr>
        <w:t>标报价总额，应同时修改投标文件</w:t>
      </w:r>
      <w:r>
        <w:rPr>
          <w:rFonts w:ascii="Times New Roman" w:hAnsi="Times New Roman" w:eastAsia="Times New Roman"/>
          <w:color w:val="auto"/>
          <w:spacing w:val="-3"/>
          <w:sz w:val="21"/>
          <w:highlight w:val="none"/>
        </w:rPr>
        <w:t>“</w:t>
      </w:r>
      <w:r>
        <w:rPr>
          <w:color w:val="auto"/>
          <w:spacing w:val="-3"/>
          <w:sz w:val="21"/>
          <w:highlight w:val="none"/>
        </w:rPr>
        <w:t>费用清单</w:t>
      </w:r>
      <w:r>
        <w:rPr>
          <w:rFonts w:ascii="Times New Roman" w:hAnsi="Times New Roman" w:eastAsia="Times New Roman"/>
          <w:color w:val="auto"/>
          <w:spacing w:val="-3"/>
          <w:sz w:val="21"/>
          <w:highlight w:val="none"/>
        </w:rPr>
        <w:t>”</w:t>
      </w:r>
      <w:r>
        <w:rPr>
          <w:color w:val="auto"/>
          <w:spacing w:val="-11"/>
          <w:sz w:val="21"/>
          <w:highlight w:val="none"/>
        </w:rPr>
        <w:t xml:space="preserve">中的相应报价。此修改须符合本章第 </w:t>
      </w:r>
      <w:r>
        <w:rPr>
          <w:rFonts w:ascii="Times New Roman" w:hAnsi="Times New Roman" w:eastAsia="Times New Roman"/>
          <w:color w:val="auto"/>
          <w:sz w:val="21"/>
          <w:highlight w:val="none"/>
        </w:rPr>
        <w:t>4.3</w:t>
      </w:r>
      <w:r>
        <w:rPr>
          <w:rFonts w:ascii="Times New Roman" w:hAnsi="Times New Roman" w:eastAsia="Times New Roman"/>
          <w:color w:val="auto"/>
          <w:spacing w:val="17"/>
          <w:sz w:val="21"/>
          <w:highlight w:val="none"/>
        </w:rPr>
        <w:t xml:space="preserve"> </w:t>
      </w:r>
      <w:r>
        <w:rPr>
          <w:color w:val="auto"/>
          <w:sz w:val="21"/>
          <w:highlight w:val="none"/>
        </w:rPr>
        <w:t>款的</w:t>
      </w:r>
      <w:r>
        <w:rPr>
          <w:color w:val="auto"/>
          <w:spacing w:val="-1"/>
          <w:sz w:val="21"/>
          <w:highlight w:val="none"/>
        </w:rPr>
        <w:t>有关要求。</w:t>
      </w:r>
    </w:p>
    <w:p>
      <w:pPr>
        <w:pStyle w:val="38"/>
        <w:numPr>
          <w:ilvl w:val="2"/>
          <w:numId w:val="2"/>
        </w:numPr>
        <w:tabs>
          <w:tab w:val="left" w:pos="1186"/>
        </w:tabs>
        <w:spacing w:line="360" w:lineRule="auto"/>
        <w:ind w:left="0" w:firstLine="388" w:firstLineChars="200"/>
        <w:jc w:val="both"/>
        <w:rPr>
          <w:color w:val="auto"/>
          <w:sz w:val="21"/>
          <w:highlight w:val="none"/>
        </w:rPr>
      </w:pPr>
      <w:r>
        <w:rPr>
          <w:color w:val="auto"/>
          <w:spacing w:val="-8"/>
          <w:sz w:val="21"/>
          <w:highlight w:val="none"/>
        </w:rPr>
        <w:t>招标人设有最高投标限价的，投标人的投标报价不得超过最高投标限价，最高投标限</w:t>
      </w:r>
      <w:r>
        <w:rPr>
          <w:color w:val="auto"/>
          <w:spacing w:val="-5"/>
          <w:sz w:val="21"/>
          <w:highlight w:val="none"/>
        </w:rPr>
        <w:t>价在投标人须知前附表中载明。</w:t>
      </w:r>
    </w:p>
    <w:p>
      <w:pPr>
        <w:pStyle w:val="38"/>
        <w:numPr>
          <w:ilvl w:val="2"/>
          <w:numId w:val="2"/>
        </w:numPr>
        <w:tabs>
          <w:tab w:val="left" w:pos="1186"/>
        </w:tabs>
        <w:spacing w:line="360" w:lineRule="auto"/>
        <w:ind w:left="0" w:firstLine="408" w:firstLineChars="200"/>
        <w:jc w:val="both"/>
        <w:rPr>
          <w:color w:val="auto"/>
          <w:sz w:val="21"/>
          <w:highlight w:val="none"/>
        </w:rPr>
      </w:pPr>
      <w:r>
        <w:rPr>
          <w:color w:val="auto"/>
          <w:spacing w:val="-3"/>
          <w:sz w:val="21"/>
          <w:highlight w:val="none"/>
        </w:rPr>
        <w:t>投标报价的其他要求见投标人须知前附表。</w:t>
      </w:r>
    </w:p>
    <w:p>
      <w:pPr>
        <w:pStyle w:val="5"/>
        <w:numPr>
          <w:ilvl w:val="1"/>
          <w:numId w:val="2"/>
        </w:numPr>
        <w:tabs>
          <w:tab w:val="left" w:pos="867"/>
        </w:tabs>
        <w:spacing w:line="360" w:lineRule="auto"/>
        <w:ind w:left="-440" w:leftChars="-200" w:firstLine="560" w:firstLineChars="200"/>
        <w:rPr>
          <w:color w:val="auto"/>
          <w:highlight w:val="none"/>
        </w:rPr>
      </w:pPr>
      <w:bookmarkStart w:id="76" w:name="_bookmark43"/>
      <w:bookmarkEnd w:id="76"/>
      <w:bookmarkStart w:id="77" w:name="_Toc20347_WPSOffice_Level3"/>
      <w:bookmarkStart w:id="78" w:name="_Toc6184"/>
      <w:r>
        <w:rPr>
          <w:color w:val="auto"/>
          <w:highlight w:val="none"/>
        </w:rPr>
        <w:t>投标有效期</w:t>
      </w:r>
      <w:bookmarkEnd w:id="77"/>
      <w:bookmarkEnd w:id="78"/>
    </w:p>
    <w:p>
      <w:pPr>
        <w:pStyle w:val="38"/>
        <w:numPr>
          <w:ilvl w:val="2"/>
          <w:numId w:val="2"/>
        </w:numPr>
        <w:tabs>
          <w:tab w:val="left" w:pos="1186"/>
        </w:tabs>
        <w:spacing w:line="360" w:lineRule="auto"/>
        <w:ind w:left="0" w:firstLine="396" w:firstLineChars="200"/>
        <w:jc w:val="both"/>
        <w:rPr>
          <w:color w:val="auto"/>
          <w:sz w:val="21"/>
          <w:highlight w:val="none"/>
        </w:rPr>
      </w:pPr>
      <w:r>
        <w:rPr>
          <w:color w:val="auto"/>
          <w:spacing w:val="-6"/>
          <w:sz w:val="21"/>
          <w:highlight w:val="none"/>
        </w:rPr>
        <w:t xml:space="preserve">除投标人须知前附表另有规定外，投标有效期为 </w:t>
      </w:r>
      <w:r>
        <w:rPr>
          <w:rFonts w:ascii="Times New Roman" w:eastAsia="Times New Roman"/>
          <w:color w:val="auto"/>
          <w:sz w:val="21"/>
          <w:highlight w:val="none"/>
        </w:rPr>
        <w:t>90</w:t>
      </w:r>
      <w:r>
        <w:rPr>
          <w:rFonts w:ascii="Times New Roman" w:eastAsia="Times New Roman"/>
          <w:color w:val="auto"/>
          <w:spacing w:val="-3"/>
          <w:sz w:val="21"/>
          <w:highlight w:val="none"/>
        </w:rPr>
        <w:t xml:space="preserve"> </w:t>
      </w:r>
      <w:r>
        <w:rPr>
          <w:color w:val="auto"/>
          <w:sz w:val="21"/>
          <w:highlight w:val="none"/>
        </w:rPr>
        <w:t>天。</w:t>
      </w:r>
    </w:p>
    <w:p>
      <w:pPr>
        <w:pStyle w:val="38"/>
        <w:numPr>
          <w:ilvl w:val="2"/>
          <w:numId w:val="2"/>
        </w:numPr>
        <w:tabs>
          <w:tab w:val="left" w:pos="1186"/>
        </w:tabs>
        <w:spacing w:line="360" w:lineRule="auto"/>
        <w:ind w:left="0" w:firstLine="408" w:firstLineChars="200"/>
        <w:jc w:val="both"/>
        <w:rPr>
          <w:color w:val="auto"/>
          <w:sz w:val="21"/>
          <w:highlight w:val="none"/>
        </w:rPr>
      </w:pPr>
      <w:r>
        <w:rPr>
          <w:color w:val="auto"/>
          <w:spacing w:val="-3"/>
          <w:sz w:val="21"/>
          <w:highlight w:val="none"/>
        </w:rPr>
        <w:t>在投标有效期内，投标人撤销投标文件的，应承担招标文件和法律规定的责任。</w:t>
      </w:r>
    </w:p>
    <w:p>
      <w:pPr>
        <w:pStyle w:val="38"/>
        <w:numPr>
          <w:ilvl w:val="2"/>
          <w:numId w:val="2"/>
        </w:numPr>
        <w:tabs>
          <w:tab w:val="left" w:pos="1186"/>
        </w:tabs>
        <w:spacing w:line="360" w:lineRule="auto"/>
        <w:ind w:left="0" w:firstLine="388" w:firstLineChars="200"/>
        <w:jc w:val="both"/>
        <w:rPr>
          <w:color w:val="auto"/>
          <w:sz w:val="21"/>
          <w:highlight w:val="none"/>
        </w:rPr>
      </w:pPr>
      <w:r>
        <w:rPr>
          <w:color w:val="auto"/>
          <w:spacing w:val="-8"/>
          <w:sz w:val="21"/>
          <w:highlight w:val="none"/>
        </w:rPr>
        <w:t>出现特殊情况需要延长投标有效期的，招标人以书面形式通知所有投标人延长投标有效期。投标人应予以书面答复，同意延长的，应相应延长其投标保证金的有效期，但不得要求</w:t>
      </w:r>
      <w:r>
        <w:rPr>
          <w:color w:val="auto"/>
          <w:spacing w:val="-9"/>
          <w:sz w:val="21"/>
          <w:highlight w:val="none"/>
        </w:rPr>
        <w:t>或被允许修改其投标文件；投标人拒绝延长的，其投标失效，但投标人有权收回其投标保证金</w:t>
      </w:r>
      <w:r>
        <w:rPr>
          <w:color w:val="auto"/>
          <w:spacing w:val="-3"/>
          <w:sz w:val="21"/>
          <w:highlight w:val="none"/>
        </w:rPr>
        <w:t>。</w:t>
      </w:r>
    </w:p>
    <w:p>
      <w:pPr>
        <w:pStyle w:val="5"/>
        <w:numPr>
          <w:ilvl w:val="1"/>
          <w:numId w:val="2"/>
        </w:numPr>
        <w:tabs>
          <w:tab w:val="left" w:pos="867"/>
        </w:tabs>
        <w:spacing w:line="360" w:lineRule="auto"/>
        <w:ind w:left="-440" w:leftChars="-200" w:firstLine="560" w:firstLineChars="200"/>
        <w:rPr>
          <w:color w:val="auto"/>
          <w:highlight w:val="none"/>
        </w:rPr>
      </w:pPr>
      <w:bookmarkStart w:id="79" w:name="_bookmark44"/>
      <w:bookmarkEnd w:id="79"/>
      <w:bookmarkStart w:id="80" w:name="_Toc29247"/>
      <w:bookmarkStart w:id="81" w:name="_Toc23751_WPSOffice_Level3"/>
      <w:r>
        <w:rPr>
          <w:color w:val="auto"/>
          <w:highlight w:val="none"/>
        </w:rPr>
        <w:t>投标保证金</w:t>
      </w:r>
      <w:bookmarkEnd w:id="80"/>
      <w:bookmarkEnd w:id="81"/>
    </w:p>
    <w:p>
      <w:pPr>
        <w:pStyle w:val="38"/>
        <w:numPr>
          <w:ilvl w:val="2"/>
          <w:numId w:val="2"/>
        </w:numPr>
        <w:tabs>
          <w:tab w:val="left" w:pos="1186"/>
        </w:tabs>
        <w:spacing w:line="360" w:lineRule="auto"/>
        <w:ind w:left="0" w:firstLine="372" w:firstLineChars="200"/>
        <w:jc w:val="both"/>
        <w:rPr>
          <w:color w:val="auto"/>
          <w:sz w:val="21"/>
          <w:highlight w:val="none"/>
        </w:rPr>
      </w:pPr>
      <w:r>
        <w:rPr>
          <w:color w:val="auto"/>
          <w:spacing w:val="-12"/>
          <w:sz w:val="21"/>
          <w:highlight w:val="none"/>
        </w:rPr>
        <w:t>投标人在递交投标文件的同时，应按投标人须知前附表规定的金额、形式和第六章</w:t>
      </w:r>
      <w:r>
        <w:rPr>
          <w:rFonts w:ascii="Times New Roman" w:hAnsi="Times New Roman" w:eastAsia="Times New Roman"/>
          <w:color w:val="auto"/>
          <w:sz w:val="21"/>
          <w:highlight w:val="none"/>
        </w:rPr>
        <w:t>“</w:t>
      </w:r>
      <w:r>
        <w:rPr>
          <w:color w:val="auto"/>
          <w:sz w:val="21"/>
          <w:highlight w:val="none"/>
        </w:rPr>
        <w:t>投</w:t>
      </w:r>
      <w:r>
        <w:rPr>
          <w:color w:val="auto"/>
          <w:spacing w:val="-2"/>
          <w:sz w:val="21"/>
          <w:highlight w:val="none"/>
        </w:rPr>
        <w:t>标文件格式</w:t>
      </w:r>
      <w:r>
        <w:rPr>
          <w:rFonts w:ascii="Times New Roman" w:hAnsi="Times New Roman" w:eastAsia="Times New Roman"/>
          <w:color w:val="auto"/>
          <w:sz w:val="21"/>
          <w:highlight w:val="none"/>
        </w:rPr>
        <w:t>”</w:t>
      </w:r>
      <w:r>
        <w:rPr>
          <w:color w:val="auto"/>
          <w:spacing w:val="-6"/>
          <w:sz w:val="21"/>
          <w:highlight w:val="none"/>
        </w:rPr>
        <w:t>规定的投标保证金格式递交投标保证金，并作为其投标文件的组成部分。境内投标</w:t>
      </w:r>
      <w:r>
        <w:rPr>
          <w:color w:val="auto"/>
          <w:spacing w:val="-7"/>
          <w:sz w:val="21"/>
          <w:highlight w:val="none"/>
        </w:rPr>
        <w:t>人以现金或者支票形式提交的投标保证金，应当从其基本账户转出并在投标文件中附上基本账</w:t>
      </w:r>
      <w:r>
        <w:rPr>
          <w:color w:val="auto"/>
          <w:spacing w:val="-4"/>
          <w:sz w:val="21"/>
          <w:highlight w:val="none"/>
        </w:rPr>
        <w:t>户开户证明。并应符合投标人须知前附表的</w:t>
      </w:r>
      <w:r>
        <w:rPr>
          <w:color w:val="auto"/>
          <w:sz w:val="21"/>
          <w:highlight w:val="none"/>
        </w:rPr>
        <w:t>规定。</w:t>
      </w:r>
    </w:p>
    <w:p>
      <w:pPr>
        <w:pStyle w:val="38"/>
        <w:numPr>
          <w:ilvl w:val="2"/>
          <w:numId w:val="2"/>
        </w:numPr>
        <w:tabs>
          <w:tab w:val="left" w:pos="1186"/>
        </w:tabs>
        <w:spacing w:line="360" w:lineRule="auto"/>
        <w:ind w:left="0" w:firstLine="384" w:firstLineChars="200"/>
        <w:jc w:val="both"/>
        <w:rPr>
          <w:color w:val="auto"/>
          <w:sz w:val="21"/>
          <w:highlight w:val="none"/>
        </w:rPr>
      </w:pPr>
      <w:r>
        <w:rPr>
          <w:color w:val="auto"/>
          <w:spacing w:val="-9"/>
          <w:sz w:val="21"/>
          <w:highlight w:val="none"/>
        </w:rPr>
        <w:t xml:space="preserve">投标人不按本章第 </w:t>
      </w:r>
      <w:r>
        <w:rPr>
          <w:rFonts w:ascii="Times New Roman" w:eastAsia="Times New Roman"/>
          <w:color w:val="auto"/>
          <w:sz w:val="21"/>
          <w:highlight w:val="none"/>
        </w:rPr>
        <w:t>3.4.1</w:t>
      </w:r>
      <w:r>
        <w:rPr>
          <w:rFonts w:ascii="Times New Roman" w:eastAsia="Times New Roman"/>
          <w:color w:val="auto"/>
          <w:spacing w:val="2"/>
          <w:sz w:val="21"/>
          <w:highlight w:val="none"/>
        </w:rPr>
        <w:t xml:space="preserve"> </w:t>
      </w:r>
      <w:r>
        <w:rPr>
          <w:color w:val="auto"/>
          <w:spacing w:val="-3"/>
          <w:sz w:val="21"/>
          <w:highlight w:val="none"/>
        </w:rPr>
        <w:t>项要求提交投标保证金的，评标委员会将否决其投标。</w:t>
      </w:r>
    </w:p>
    <w:p>
      <w:pPr>
        <w:pStyle w:val="38"/>
        <w:numPr>
          <w:ilvl w:val="2"/>
          <w:numId w:val="2"/>
        </w:numPr>
        <w:tabs>
          <w:tab w:val="left" w:pos="1186"/>
        </w:tabs>
        <w:spacing w:line="360" w:lineRule="auto"/>
        <w:ind w:left="0" w:firstLine="400" w:firstLineChars="200"/>
        <w:rPr>
          <w:color w:val="auto"/>
          <w:sz w:val="21"/>
          <w:highlight w:val="none"/>
        </w:rPr>
      </w:pPr>
      <w:r>
        <w:rPr>
          <w:color w:val="auto"/>
          <w:spacing w:val="-5"/>
          <w:sz w:val="21"/>
          <w:highlight w:val="none"/>
        </w:rPr>
        <w:t xml:space="preserve">招标人最迟将在与中标人签订合同后 </w:t>
      </w:r>
      <w:r>
        <w:rPr>
          <w:rFonts w:ascii="Times New Roman" w:eastAsia="Times New Roman"/>
          <w:color w:val="auto"/>
          <w:sz w:val="21"/>
          <w:highlight w:val="none"/>
        </w:rPr>
        <w:t>5</w:t>
      </w:r>
      <w:r>
        <w:rPr>
          <w:rFonts w:ascii="Times New Roman" w:eastAsia="Times New Roman"/>
          <w:color w:val="auto"/>
          <w:spacing w:val="20"/>
          <w:sz w:val="21"/>
          <w:highlight w:val="none"/>
        </w:rPr>
        <w:t xml:space="preserve"> </w:t>
      </w:r>
      <w:r>
        <w:rPr>
          <w:color w:val="auto"/>
          <w:spacing w:val="-11"/>
          <w:sz w:val="21"/>
          <w:highlight w:val="none"/>
        </w:rPr>
        <w:t>日内，向未中标的投标人和中标人退还投标保</w:t>
      </w:r>
      <w:r>
        <w:rPr>
          <w:color w:val="auto"/>
          <w:spacing w:val="-6"/>
          <w:sz w:val="21"/>
          <w:highlight w:val="none"/>
        </w:rPr>
        <w:t>证金。</w:t>
      </w:r>
    </w:p>
    <w:p>
      <w:pPr>
        <w:pStyle w:val="38"/>
        <w:numPr>
          <w:ilvl w:val="2"/>
          <w:numId w:val="2"/>
        </w:numPr>
        <w:tabs>
          <w:tab w:val="left" w:pos="1186"/>
        </w:tabs>
        <w:spacing w:line="360" w:lineRule="auto"/>
        <w:ind w:left="0" w:firstLine="408" w:firstLineChars="200"/>
        <w:rPr>
          <w:color w:val="auto"/>
          <w:sz w:val="21"/>
          <w:highlight w:val="none"/>
        </w:rPr>
      </w:pPr>
      <w:r>
        <w:rPr>
          <w:color w:val="auto"/>
          <w:spacing w:val="-3"/>
          <w:sz w:val="21"/>
          <w:highlight w:val="none"/>
        </w:rPr>
        <w:t>有下列情形之一的，投标保证金将不予退还：</w:t>
      </w:r>
    </w:p>
    <w:p>
      <w:pPr>
        <w:pStyle w:val="38"/>
        <w:numPr>
          <w:ilvl w:val="0"/>
          <w:numId w:val="6"/>
        </w:numPr>
        <w:tabs>
          <w:tab w:val="left" w:pos="1084"/>
        </w:tabs>
        <w:spacing w:line="360" w:lineRule="auto"/>
        <w:ind w:left="0" w:firstLine="408" w:firstLineChars="200"/>
        <w:rPr>
          <w:color w:val="auto"/>
          <w:spacing w:val="-3"/>
          <w:sz w:val="21"/>
          <w:highlight w:val="none"/>
        </w:rPr>
      </w:pPr>
      <w:r>
        <w:rPr>
          <w:rFonts w:hint="eastAsia"/>
          <w:color w:val="auto"/>
          <w:spacing w:val="-3"/>
          <w:sz w:val="21"/>
          <w:highlight w:val="none"/>
        </w:rPr>
        <w:t>投标人在规定的投标有效期内撤销或修改其投标文件；</w:t>
      </w:r>
    </w:p>
    <w:p>
      <w:pPr>
        <w:pStyle w:val="38"/>
        <w:numPr>
          <w:ilvl w:val="0"/>
          <w:numId w:val="6"/>
        </w:numPr>
        <w:tabs>
          <w:tab w:val="left" w:pos="1084"/>
        </w:tabs>
        <w:spacing w:line="360" w:lineRule="auto"/>
        <w:ind w:left="0" w:firstLine="408" w:firstLineChars="200"/>
        <w:rPr>
          <w:color w:val="auto"/>
          <w:spacing w:val="-3"/>
          <w:sz w:val="21"/>
          <w:highlight w:val="none"/>
        </w:rPr>
      </w:pPr>
      <w:r>
        <w:rPr>
          <w:rFonts w:hint="eastAsia"/>
          <w:color w:val="auto"/>
          <w:spacing w:val="-3"/>
          <w:sz w:val="21"/>
          <w:highlight w:val="none"/>
        </w:rPr>
        <w:t>中标人在收到中标通知书后，无正当理由拒签合同协议书；</w:t>
      </w:r>
    </w:p>
    <w:p>
      <w:pPr>
        <w:pStyle w:val="38"/>
        <w:numPr>
          <w:ilvl w:val="0"/>
          <w:numId w:val="6"/>
        </w:numPr>
        <w:tabs>
          <w:tab w:val="left" w:pos="1084"/>
        </w:tabs>
        <w:spacing w:line="360" w:lineRule="auto"/>
        <w:ind w:left="0" w:firstLine="408" w:firstLineChars="200"/>
        <w:rPr>
          <w:color w:val="auto"/>
          <w:sz w:val="21"/>
          <w:highlight w:val="none"/>
        </w:rPr>
      </w:pPr>
      <w:r>
        <w:rPr>
          <w:rFonts w:hint="eastAsia"/>
          <w:color w:val="auto"/>
          <w:spacing w:val="-3"/>
          <w:sz w:val="21"/>
          <w:highlight w:val="none"/>
        </w:rPr>
        <w:t>投标人在投标活动中串通投标、弄虚作假的，投标保证金也不予退还。</w:t>
      </w:r>
    </w:p>
    <w:p>
      <w:pPr>
        <w:pStyle w:val="5"/>
        <w:numPr>
          <w:ilvl w:val="1"/>
          <w:numId w:val="7"/>
        </w:numPr>
        <w:tabs>
          <w:tab w:val="left" w:pos="867"/>
        </w:tabs>
        <w:spacing w:line="360" w:lineRule="auto"/>
        <w:ind w:left="-440" w:leftChars="-200" w:firstLine="556" w:firstLineChars="200"/>
        <w:rPr>
          <w:color w:val="auto"/>
          <w:highlight w:val="none"/>
        </w:rPr>
      </w:pPr>
      <w:bookmarkStart w:id="82" w:name="_bookmark46"/>
      <w:bookmarkEnd w:id="82"/>
      <w:bookmarkStart w:id="83" w:name="_bookmark45"/>
      <w:bookmarkEnd w:id="83"/>
      <w:bookmarkStart w:id="84" w:name="_Toc3694_WPSOffice_Level3"/>
      <w:bookmarkStart w:id="85" w:name="_Toc7909"/>
      <w:r>
        <w:rPr>
          <w:color w:val="auto"/>
          <w:spacing w:val="-1"/>
          <w:highlight w:val="none"/>
        </w:rPr>
        <w:t>资格审查资料</w:t>
      </w:r>
      <w:bookmarkEnd w:id="84"/>
      <w:bookmarkEnd w:id="85"/>
    </w:p>
    <w:p>
      <w:pPr>
        <w:pStyle w:val="2"/>
        <w:spacing w:line="360" w:lineRule="auto"/>
        <w:ind w:firstLine="420" w:firstLineChars="200"/>
        <w:rPr>
          <w:color w:val="auto"/>
          <w:highlight w:val="none"/>
        </w:rPr>
      </w:pPr>
      <w:r>
        <w:rPr>
          <w:color w:val="auto"/>
          <w:highlight w:val="none"/>
        </w:rPr>
        <w:t xml:space="preserve">除投标人须知前附表另有规定外，投标人应按下列规定提供资格审查资料，以证明其满足本章第 </w:t>
      </w:r>
      <w:r>
        <w:rPr>
          <w:rFonts w:ascii="Times New Roman" w:eastAsia="Times New Roman"/>
          <w:color w:val="auto"/>
          <w:highlight w:val="none"/>
        </w:rPr>
        <w:t xml:space="preserve">1.4 </w:t>
      </w:r>
      <w:r>
        <w:rPr>
          <w:color w:val="auto"/>
          <w:highlight w:val="none"/>
        </w:rPr>
        <w:t>款规定的资质、财务、业绩、信誉等要求。</w:t>
      </w:r>
    </w:p>
    <w:p>
      <w:pPr>
        <w:pStyle w:val="38"/>
        <w:numPr>
          <w:ilvl w:val="2"/>
          <w:numId w:val="7"/>
        </w:numPr>
        <w:tabs>
          <w:tab w:val="left" w:pos="1136"/>
        </w:tabs>
        <w:spacing w:line="360" w:lineRule="auto"/>
        <w:ind w:left="0" w:firstLine="408" w:firstLineChars="200"/>
        <w:rPr>
          <w:color w:val="auto"/>
          <w:sz w:val="21"/>
          <w:highlight w:val="none"/>
        </w:rPr>
      </w:pPr>
      <w:r>
        <w:rPr>
          <w:rFonts w:ascii="Times New Roman" w:hAnsi="Times New Roman" w:eastAsia="Times New Roman"/>
          <w:color w:val="auto"/>
          <w:spacing w:val="-3"/>
          <w:sz w:val="21"/>
          <w:highlight w:val="none"/>
        </w:rPr>
        <w:t>“</w:t>
      </w:r>
      <w:r>
        <w:rPr>
          <w:color w:val="auto"/>
          <w:spacing w:val="-3"/>
          <w:sz w:val="21"/>
          <w:highlight w:val="none"/>
        </w:rPr>
        <w:t>投标人基本情况表</w:t>
      </w:r>
      <w:r>
        <w:rPr>
          <w:rFonts w:ascii="Times New Roman" w:hAnsi="Times New Roman" w:eastAsia="Times New Roman"/>
          <w:color w:val="auto"/>
          <w:spacing w:val="-3"/>
          <w:sz w:val="21"/>
          <w:highlight w:val="none"/>
        </w:rPr>
        <w:t>”</w:t>
      </w:r>
      <w:r>
        <w:rPr>
          <w:color w:val="auto"/>
          <w:spacing w:val="-8"/>
          <w:sz w:val="21"/>
          <w:highlight w:val="none"/>
        </w:rPr>
        <w:t>应附投标人营业执照和组织机构代码证的复印件</w:t>
      </w:r>
      <w:r>
        <w:rPr>
          <w:color w:val="auto"/>
          <w:sz w:val="21"/>
          <w:highlight w:val="none"/>
        </w:rPr>
        <w:t>（</w:t>
      </w:r>
      <w:r>
        <w:rPr>
          <w:color w:val="auto"/>
          <w:spacing w:val="-2"/>
          <w:sz w:val="21"/>
          <w:highlight w:val="none"/>
        </w:rPr>
        <w:t>按照</w:t>
      </w:r>
      <w:r>
        <w:rPr>
          <w:rFonts w:ascii="Times New Roman" w:hAnsi="Times New Roman" w:eastAsia="Times New Roman"/>
          <w:color w:val="auto"/>
          <w:sz w:val="21"/>
          <w:highlight w:val="none"/>
        </w:rPr>
        <w:t>“</w:t>
      </w:r>
      <w:r>
        <w:rPr>
          <w:color w:val="auto"/>
          <w:spacing w:val="-3"/>
          <w:sz w:val="21"/>
          <w:highlight w:val="none"/>
        </w:rPr>
        <w:t>三证合一</w:t>
      </w:r>
      <w:r>
        <w:rPr>
          <w:rFonts w:ascii="Times New Roman" w:hAnsi="Times New Roman" w:eastAsia="Times New Roman"/>
          <w:color w:val="auto"/>
          <w:sz w:val="21"/>
          <w:highlight w:val="none"/>
        </w:rPr>
        <w:t xml:space="preserve">” </w:t>
      </w:r>
      <w:r>
        <w:rPr>
          <w:color w:val="auto"/>
          <w:sz w:val="21"/>
          <w:highlight w:val="none"/>
        </w:rPr>
        <w:t>或</w:t>
      </w:r>
      <w:r>
        <w:rPr>
          <w:rFonts w:ascii="Times New Roman" w:hAnsi="Times New Roman" w:eastAsia="Times New Roman"/>
          <w:color w:val="auto"/>
          <w:sz w:val="21"/>
          <w:highlight w:val="none"/>
        </w:rPr>
        <w:t>“</w:t>
      </w:r>
      <w:r>
        <w:rPr>
          <w:color w:val="auto"/>
          <w:spacing w:val="-3"/>
          <w:sz w:val="21"/>
          <w:highlight w:val="none"/>
        </w:rPr>
        <w:t>五证合一</w:t>
      </w:r>
      <w:r>
        <w:rPr>
          <w:rFonts w:ascii="Times New Roman" w:hAnsi="Times New Roman" w:eastAsia="Times New Roman"/>
          <w:color w:val="auto"/>
          <w:sz w:val="21"/>
          <w:highlight w:val="none"/>
        </w:rPr>
        <w:t>”</w:t>
      </w:r>
      <w:r>
        <w:rPr>
          <w:color w:val="auto"/>
          <w:spacing w:val="-6"/>
          <w:sz w:val="21"/>
          <w:highlight w:val="none"/>
        </w:rPr>
        <w:t>登记制度进行登记的，可仅提供营业执照复印件</w:t>
      </w:r>
      <w:r>
        <w:rPr>
          <w:color w:val="auto"/>
          <w:spacing w:val="-106"/>
          <w:sz w:val="21"/>
          <w:highlight w:val="none"/>
        </w:rPr>
        <w:t>）</w:t>
      </w:r>
      <w:r>
        <w:rPr>
          <w:color w:val="auto"/>
          <w:spacing w:val="-7"/>
          <w:sz w:val="21"/>
          <w:highlight w:val="none"/>
        </w:rPr>
        <w:t>、</w:t>
      </w:r>
      <w:r>
        <w:rPr>
          <w:rFonts w:hint="eastAsia"/>
          <w:color w:val="auto"/>
          <w:spacing w:val="-7"/>
          <w:sz w:val="21"/>
          <w:highlight w:val="none"/>
        </w:rPr>
        <w:t>基本账户开户许可证复印件</w:t>
      </w:r>
      <w:r>
        <w:rPr>
          <w:color w:val="auto"/>
          <w:spacing w:val="-7"/>
          <w:sz w:val="21"/>
          <w:highlight w:val="none"/>
        </w:rPr>
        <w:t>等材</w:t>
      </w:r>
      <w:r>
        <w:rPr>
          <w:color w:val="auto"/>
          <w:spacing w:val="-5"/>
          <w:sz w:val="21"/>
          <w:highlight w:val="none"/>
        </w:rPr>
        <w:t>料的复印件</w:t>
      </w:r>
      <w:r>
        <w:rPr>
          <w:rFonts w:hint="eastAsia"/>
          <w:color w:val="auto"/>
          <w:spacing w:val="-5"/>
          <w:sz w:val="21"/>
          <w:highlight w:val="none"/>
        </w:rPr>
        <w:t>。（</w:t>
      </w:r>
      <w:r>
        <w:rPr>
          <w:rFonts w:hint="eastAsia"/>
          <w:color w:val="auto"/>
          <w:spacing w:val="-5"/>
          <w:sz w:val="21"/>
          <w:highlight w:val="none"/>
          <w:lang w:val="en-US"/>
        </w:rPr>
        <w:t>注：复印件须盖单位公章</w:t>
      </w:r>
      <w:r>
        <w:rPr>
          <w:rFonts w:hint="eastAsia"/>
          <w:color w:val="auto"/>
          <w:spacing w:val="-5"/>
          <w:sz w:val="21"/>
          <w:highlight w:val="none"/>
        </w:rPr>
        <w:t>）</w:t>
      </w:r>
    </w:p>
    <w:p>
      <w:pPr>
        <w:pStyle w:val="38"/>
        <w:numPr>
          <w:ilvl w:val="2"/>
          <w:numId w:val="7"/>
        </w:numPr>
        <w:tabs>
          <w:tab w:val="left" w:pos="1136"/>
        </w:tabs>
        <w:spacing w:line="360" w:lineRule="auto"/>
        <w:ind w:left="0" w:firstLine="420" w:firstLineChars="200"/>
        <w:jc w:val="both"/>
        <w:rPr>
          <w:color w:val="auto"/>
          <w:sz w:val="21"/>
          <w:highlight w:val="none"/>
        </w:rPr>
      </w:pPr>
      <w:r>
        <w:rPr>
          <w:rFonts w:ascii="Times New Roman" w:hAnsi="Times New Roman" w:eastAsia="Times New Roman"/>
          <w:color w:val="auto"/>
          <w:sz w:val="21"/>
          <w:highlight w:val="none"/>
        </w:rPr>
        <w:t>“</w:t>
      </w:r>
      <w:r>
        <w:rPr>
          <w:color w:val="auto"/>
          <w:spacing w:val="-3"/>
          <w:sz w:val="21"/>
          <w:highlight w:val="none"/>
        </w:rPr>
        <w:t>近年财务状况表</w:t>
      </w:r>
      <w:r>
        <w:rPr>
          <w:rFonts w:ascii="Times New Roman" w:hAnsi="Times New Roman" w:eastAsia="Times New Roman"/>
          <w:color w:val="auto"/>
          <w:spacing w:val="-3"/>
          <w:sz w:val="21"/>
          <w:highlight w:val="none"/>
        </w:rPr>
        <w:t>”</w:t>
      </w:r>
      <w:r>
        <w:rPr>
          <w:color w:val="auto"/>
          <w:spacing w:val="-3"/>
          <w:sz w:val="21"/>
          <w:highlight w:val="none"/>
        </w:rPr>
        <w:t>应附经会计师事务所或审计机构审计的财务会计报表，包括资产负债表、现金流量表、利润表的复印件，具体年份要求见投标人须知前附表。投标人的成立时间少于投标人须知前附表规定年份的，应提供成立以来的财务状况表。</w:t>
      </w:r>
    </w:p>
    <w:p>
      <w:pPr>
        <w:pStyle w:val="38"/>
        <w:numPr>
          <w:ilvl w:val="2"/>
          <w:numId w:val="7"/>
        </w:numPr>
        <w:tabs>
          <w:tab w:val="left" w:pos="1136"/>
        </w:tabs>
        <w:spacing w:line="360" w:lineRule="auto"/>
        <w:ind w:left="0" w:firstLine="420" w:firstLineChars="200"/>
        <w:jc w:val="both"/>
        <w:rPr>
          <w:color w:val="auto"/>
          <w:sz w:val="21"/>
          <w:highlight w:val="none"/>
        </w:rPr>
      </w:pPr>
      <w:r>
        <w:rPr>
          <w:rFonts w:ascii="Times New Roman" w:hAnsi="Times New Roman" w:eastAsia="Times New Roman"/>
          <w:color w:val="auto"/>
          <w:sz w:val="21"/>
          <w:highlight w:val="none"/>
        </w:rPr>
        <w:t>“</w:t>
      </w:r>
      <w:r>
        <w:rPr>
          <w:color w:val="auto"/>
          <w:spacing w:val="-3"/>
          <w:sz w:val="21"/>
          <w:highlight w:val="none"/>
        </w:rPr>
        <w:t>近年完成的类似项目情况表</w:t>
      </w:r>
      <w:r>
        <w:rPr>
          <w:rFonts w:ascii="Times New Roman" w:hAnsi="Times New Roman" w:eastAsia="Times New Roman"/>
          <w:color w:val="auto"/>
          <w:spacing w:val="-3"/>
          <w:sz w:val="21"/>
          <w:highlight w:val="none"/>
        </w:rPr>
        <w:t>”</w:t>
      </w:r>
      <w:r>
        <w:rPr>
          <w:color w:val="auto"/>
          <w:spacing w:val="-3"/>
          <w:sz w:val="21"/>
          <w:highlight w:val="none"/>
        </w:rPr>
        <w:t>应附</w:t>
      </w:r>
      <w:r>
        <w:rPr>
          <w:rFonts w:hint="eastAsia"/>
          <w:color w:val="auto"/>
          <w:spacing w:val="-3"/>
          <w:sz w:val="21"/>
          <w:highlight w:val="none"/>
          <w:lang w:val="en-US"/>
        </w:rPr>
        <w:t>中标通知书复印件或合同协议书复印件，未体现投资额或面积等相关指标的需提供业主开具的证明文件</w:t>
      </w:r>
      <w:r>
        <w:rPr>
          <w:color w:val="auto"/>
          <w:spacing w:val="-3"/>
          <w:sz w:val="21"/>
          <w:highlight w:val="none"/>
        </w:rPr>
        <w:t>；具体时间要求见投标人须知前附表，每张表格只填写一个项目，并标明序号。</w:t>
      </w:r>
      <w:r>
        <w:rPr>
          <w:rFonts w:hint="eastAsia"/>
          <w:color w:val="auto"/>
          <w:spacing w:val="-5"/>
          <w:sz w:val="21"/>
          <w:highlight w:val="none"/>
        </w:rPr>
        <w:t>（</w:t>
      </w:r>
      <w:r>
        <w:rPr>
          <w:rFonts w:hint="eastAsia"/>
          <w:color w:val="auto"/>
          <w:spacing w:val="-5"/>
          <w:sz w:val="21"/>
          <w:highlight w:val="none"/>
          <w:lang w:val="en-US"/>
        </w:rPr>
        <w:t>注：复印件须盖单位公章</w:t>
      </w:r>
      <w:r>
        <w:rPr>
          <w:rFonts w:hint="eastAsia"/>
          <w:color w:val="auto"/>
          <w:spacing w:val="-5"/>
          <w:sz w:val="21"/>
          <w:highlight w:val="none"/>
        </w:rPr>
        <w:t>）</w:t>
      </w:r>
    </w:p>
    <w:p>
      <w:pPr>
        <w:pStyle w:val="38"/>
        <w:numPr>
          <w:ilvl w:val="2"/>
          <w:numId w:val="7"/>
        </w:numPr>
        <w:tabs>
          <w:tab w:val="left" w:pos="1136"/>
        </w:tabs>
        <w:spacing w:line="360" w:lineRule="auto"/>
        <w:ind w:left="0" w:firstLine="420" w:firstLineChars="200"/>
        <w:jc w:val="both"/>
        <w:rPr>
          <w:color w:val="auto"/>
          <w:sz w:val="21"/>
          <w:highlight w:val="none"/>
        </w:rPr>
      </w:pPr>
      <w:r>
        <w:rPr>
          <w:rFonts w:ascii="Times New Roman" w:hAnsi="Times New Roman" w:eastAsia="Times New Roman"/>
          <w:color w:val="auto"/>
          <w:sz w:val="21"/>
          <w:highlight w:val="none"/>
        </w:rPr>
        <w:t>“</w:t>
      </w:r>
      <w:r>
        <w:rPr>
          <w:color w:val="auto"/>
          <w:spacing w:val="-3"/>
          <w:sz w:val="21"/>
          <w:highlight w:val="none"/>
        </w:rPr>
        <w:t>近年发生的诉讼及仲裁情况</w:t>
      </w:r>
      <w:r>
        <w:rPr>
          <w:rFonts w:ascii="Times New Roman" w:hAnsi="Times New Roman" w:eastAsia="Times New Roman"/>
          <w:color w:val="auto"/>
          <w:spacing w:val="-3"/>
          <w:sz w:val="21"/>
          <w:highlight w:val="none"/>
        </w:rPr>
        <w:t>”</w:t>
      </w:r>
      <w:r>
        <w:rPr>
          <w:rFonts w:hint="eastAsia" w:ascii="Times New Roman" w:hAnsi="Times New Roman"/>
          <w:color w:val="auto"/>
          <w:spacing w:val="-3"/>
          <w:sz w:val="21"/>
          <w:highlight w:val="none"/>
        </w:rPr>
        <w:t>，</w:t>
      </w:r>
      <w:r>
        <w:rPr>
          <w:rFonts w:hint="eastAsia"/>
          <w:color w:val="auto"/>
          <w:spacing w:val="-3"/>
          <w:sz w:val="21"/>
          <w:highlight w:val="none"/>
          <w:lang w:val="en-US"/>
        </w:rPr>
        <w:t>不要求</w:t>
      </w:r>
      <w:r>
        <w:rPr>
          <w:color w:val="auto"/>
          <w:spacing w:val="-3"/>
          <w:sz w:val="21"/>
          <w:highlight w:val="none"/>
        </w:rPr>
        <w:t>。</w:t>
      </w:r>
    </w:p>
    <w:p>
      <w:pPr>
        <w:pStyle w:val="5"/>
        <w:numPr>
          <w:ilvl w:val="1"/>
          <w:numId w:val="7"/>
        </w:numPr>
        <w:tabs>
          <w:tab w:val="left" w:pos="867"/>
        </w:tabs>
        <w:spacing w:line="360" w:lineRule="auto"/>
        <w:ind w:left="-440" w:leftChars="-200" w:firstLine="556" w:firstLineChars="200"/>
        <w:rPr>
          <w:color w:val="auto"/>
          <w:highlight w:val="none"/>
        </w:rPr>
      </w:pPr>
      <w:bookmarkStart w:id="86" w:name="_bookmark47"/>
      <w:bookmarkEnd w:id="86"/>
      <w:bookmarkStart w:id="87" w:name="_Toc14181"/>
      <w:bookmarkStart w:id="88" w:name="_Toc14727_WPSOffice_Level3"/>
      <w:r>
        <w:rPr>
          <w:color w:val="auto"/>
          <w:spacing w:val="-1"/>
          <w:highlight w:val="none"/>
        </w:rPr>
        <w:t>备选投标方案</w:t>
      </w:r>
      <w:bookmarkEnd w:id="87"/>
      <w:bookmarkEnd w:id="88"/>
    </w:p>
    <w:p>
      <w:pPr>
        <w:pStyle w:val="38"/>
        <w:numPr>
          <w:ilvl w:val="2"/>
          <w:numId w:val="7"/>
        </w:numPr>
        <w:tabs>
          <w:tab w:val="left" w:pos="1186"/>
        </w:tabs>
        <w:spacing w:line="360" w:lineRule="auto"/>
        <w:ind w:left="0" w:firstLine="388" w:firstLineChars="200"/>
        <w:rPr>
          <w:color w:val="auto"/>
          <w:sz w:val="21"/>
          <w:highlight w:val="none"/>
        </w:rPr>
      </w:pPr>
      <w:r>
        <w:rPr>
          <w:color w:val="auto"/>
          <w:spacing w:val="-8"/>
          <w:sz w:val="21"/>
          <w:highlight w:val="none"/>
        </w:rPr>
        <w:t>除投标人须知前附表规定允许外，投标人不得递交备选投标方案，否则其投标将被否决。</w:t>
      </w:r>
    </w:p>
    <w:p>
      <w:pPr>
        <w:pStyle w:val="38"/>
        <w:numPr>
          <w:ilvl w:val="2"/>
          <w:numId w:val="7"/>
        </w:numPr>
        <w:tabs>
          <w:tab w:val="left" w:pos="1189"/>
        </w:tabs>
        <w:spacing w:line="360" w:lineRule="auto"/>
        <w:ind w:left="0" w:firstLine="404" w:firstLineChars="200"/>
        <w:rPr>
          <w:color w:val="auto"/>
          <w:sz w:val="21"/>
          <w:highlight w:val="none"/>
        </w:rPr>
      </w:pPr>
      <w:r>
        <w:rPr>
          <w:color w:val="auto"/>
          <w:spacing w:val="-4"/>
          <w:sz w:val="21"/>
          <w:highlight w:val="none"/>
        </w:rPr>
        <w:t>允许投标人递交备选投标方案的，只有中标人所递交的备选投标方案方可予以考虑。</w:t>
      </w:r>
      <w:r>
        <w:rPr>
          <w:color w:val="auto"/>
          <w:spacing w:val="-3"/>
          <w:sz w:val="21"/>
          <w:highlight w:val="none"/>
        </w:rPr>
        <w:t>评标委员会认为中标人的备选投标方案优于其按照招标文件要求编制的投标方案的，招标人可以接受该备选投标方案。</w:t>
      </w:r>
    </w:p>
    <w:p>
      <w:pPr>
        <w:pStyle w:val="38"/>
        <w:numPr>
          <w:ilvl w:val="2"/>
          <w:numId w:val="7"/>
        </w:numPr>
        <w:tabs>
          <w:tab w:val="left" w:pos="1186"/>
        </w:tabs>
        <w:spacing w:line="360" w:lineRule="auto"/>
        <w:ind w:left="0" w:firstLine="388" w:firstLineChars="200"/>
        <w:rPr>
          <w:color w:val="auto"/>
          <w:sz w:val="21"/>
          <w:highlight w:val="none"/>
        </w:rPr>
      </w:pPr>
      <w:r>
        <w:rPr>
          <w:color w:val="auto"/>
          <w:spacing w:val="-8"/>
          <w:sz w:val="21"/>
          <w:highlight w:val="none"/>
        </w:rPr>
        <w:t>投标人提供两个或两个以上投标报价，或者在投标文件中提供一个报价，但同时提供</w:t>
      </w:r>
      <w:r>
        <w:rPr>
          <w:color w:val="auto"/>
          <w:spacing w:val="-5"/>
          <w:sz w:val="21"/>
          <w:highlight w:val="none"/>
        </w:rPr>
        <w:t>两个或两个以上方案的，视为提供备选方案。</w:t>
      </w:r>
    </w:p>
    <w:p>
      <w:pPr>
        <w:pStyle w:val="5"/>
        <w:numPr>
          <w:ilvl w:val="1"/>
          <w:numId w:val="7"/>
        </w:numPr>
        <w:tabs>
          <w:tab w:val="left" w:pos="867"/>
        </w:tabs>
        <w:spacing w:line="360" w:lineRule="auto"/>
        <w:ind w:left="-440" w:leftChars="-200" w:firstLine="556" w:firstLineChars="200"/>
        <w:rPr>
          <w:color w:val="auto"/>
          <w:highlight w:val="none"/>
        </w:rPr>
      </w:pPr>
      <w:bookmarkStart w:id="89" w:name="_bookmark48"/>
      <w:bookmarkEnd w:id="89"/>
      <w:bookmarkStart w:id="90" w:name="_Toc25855"/>
      <w:bookmarkStart w:id="91" w:name="_Toc20994_WPSOffice_Level3"/>
      <w:r>
        <w:rPr>
          <w:color w:val="auto"/>
          <w:spacing w:val="-1"/>
          <w:highlight w:val="none"/>
        </w:rPr>
        <w:t>投标文件的编制</w:t>
      </w:r>
      <w:bookmarkEnd w:id="90"/>
      <w:bookmarkEnd w:id="91"/>
    </w:p>
    <w:p>
      <w:pPr>
        <w:pStyle w:val="38"/>
        <w:numPr>
          <w:ilvl w:val="2"/>
          <w:numId w:val="7"/>
        </w:numPr>
        <w:tabs>
          <w:tab w:val="left" w:pos="1186"/>
        </w:tabs>
        <w:spacing w:line="360" w:lineRule="auto"/>
        <w:ind w:left="0" w:firstLine="408" w:firstLineChars="200"/>
        <w:jc w:val="both"/>
        <w:rPr>
          <w:color w:val="auto"/>
          <w:sz w:val="21"/>
          <w:highlight w:val="none"/>
        </w:rPr>
      </w:pPr>
      <w:r>
        <w:rPr>
          <w:color w:val="auto"/>
          <w:spacing w:val="-3"/>
          <w:sz w:val="21"/>
          <w:highlight w:val="none"/>
        </w:rPr>
        <w:t>投标文件应按第六章</w:t>
      </w:r>
      <w:r>
        <w:rPr>
          <w:rFonts w:ascii="Times New Roman" w:hAnsi="Times New Roman" w:eastAsia="Times New Roman"/>
          <w:color w:val="auto"/>
          <w:sz w:val="21"/>
          <w:highlight w:val="none"/>
        </w:rPr>
        <w:t>“</w:t>
      </w:r>
      <w:r>
        <w:rPr>
          <w:color w:val="auto"/>
          <w:spacing w:val="-3"/>
          <w:sz w:val="21"/>
          <w:highlight w:val="none"/>
        </w:rPr>
        <w:t>投标文件格式</w:t>
      </w:r>
      <w:r>
        <w:rPr>
          <w:rFonts w:ascii="Times New Roman" w:hAnsi="Times New Roman" w:eastAsia="Times New Roman"/>
          <w:color w:val="auto"/>
          <w:spacing w:val="-3"/>
          <w:sz w:val="21"/>
          <w:highlight w:val="none"/>
        </w:rPr>
        <w:t>”</w:t>
      </w:r>
      <w:r>
        <w:rPr>
          <w:color w:val="auto"/>
          <w:spacing w:val="-9"/>
          <w:sz w:val="21"/>
          <w:highlight w:val="none"/>
        </w:rPr>
        <w:t>进行编写，如有必要，可以增加附页，作为投标文件的组成部分。其中，投标函附录在满足招标文件实质性要求的基础上，可以提出比招标文</w:t>
      </w:r>
      <w:r>
        <w:rPr>
          <w:color w:val="auto"/>
          <w:spacing w:val="-3"/>
          <w:sz w:val="21"/>
          <w:highlight w:val="none"/>
        </w:rPr>
        <w:t>件要求更有利于招标人的承诺。</w:t>
      </w:r>
    </w:p>
    <w:p>
      <w:pPr>
        <w:pStyle w:val="38"/>
        <w:tabs>
          <w:tab w:val="left" w:pos="1186"/>
        </w:tabs>
        <w:spacing w:line="360" w:lineRule="auto"/>
        <w:ind w:firstLine="98" w:firstLineChars="50"/>
        <w:jc w:val="both"/>
        <w:rPr>
          <w:color w:val="auto"/>
          <w:sz w:val="21"/>
          <w:highlight w:val="none"/>
        </w:rPr>
      </w:pPr>
      <w:r>
        <w:rPr>
          <w:rFonts w:hint="eastAsia"/>
          <w:color w:val="auto"/>
          <w:spacing w:val="-7"/>
          <w:sz w:val="21"/>
          <w:highlight w:val="none"/>
        </w:rPr>
        <w:t xml:space="preserve">3.7.2   </w:t>
      </w:r>
      <w:r>
        <w:rPr>
          <w:color w:val="auto"/>
          <w:spacing w:val="-7"/>
          <w:sz w:val="21"/>
          <w:highlight w:val="none"/>
        </w:rPr>
        <w:t>投标文件应当对招标文件有关服务期限、投标有效期、发包人要求、招标范围等</w:t>
      </w:r>
      <w:r>
        <w:rPr>
          <w:color w:val="auto"/>
          <w:spacing w:val="-5"/>
          <w:sz w:val="21"/>
          <w:highlight w:val="none"/>
        </w:rPr>
        <w:t>实质性内容作出响应。</w:t>
      </w:r>
    </w:p>
    <w:p>
      <w:pPr>
        <w:pStyle w:val="2"/>
        <w:spacing w:line="360" w:lineRule="auto"/>
        <w:ind w:firstLine="420" w:firstLineChars="200"/>
        <w:jc w:val="both"/>
        <w:rPr>
          <w:color w:val="auto"/>
          <w:highlight w:val="none"/>
        </w:rPr>
      </w:pPr>
      <w:r>
        <w:rPr>
          <w:rFonts w:ascii="Times New Roman" w:hAnsi="Times New Roman" w:eastAsia="Times New Roman"/>
          <w:color w:val="auto"/>
          <w:highlight w:val="none"/>
        </w:rPr>
        <w:t>3.7.3</w:t>
      </w:r>
      <w:r>
        <w:rPr>
          <w:color w:val="auto"/>
          <w:spacing w:val="2"/>
          <w:highlight w:val="none"/>
        </w:rPr>
        <w:t>（</w:t>
      </w:r>
      <w:r>
        <w:rPr>
          <w:rFonts w:ascii="Times New Roman" w:hAnsi="Times New Roman" w:eastAsia="Times New Roman"/>
          <w:color w:val="auto"/>
          <w:highlight w:val="none"/>
        </w:rPr>
        <w:t>1</w:t>
      </w:r>
      <w:r>
        <w:rPr>
          <w:color w:val="auto"/>
          <w:spacing w:val="2"/>
          <w:highlight w:val="none"/>
        </w:rPr>
        <w:t>）</w:t>
      </w:r>
      <w:r>
        <w:rPr>
          <w:color w:val="auto"/>
          <w:highlight w:val="none"/>
        </w:rPr>
        <w:t>投标文件应用不褪色的材料书写或打印，投标函、投标函附录及对投标文</w:t>
      </w:r>
      <w:r>
        <w:rPr>
          <w:color w:val="auto"/>
          <w:spacing w:val="-3"/>
          <w:highlight w:val="none"/>
        </w:rPr>
        <w:t>件的澄清、说明和补正应由投标人的法定代表人或其授权的代理人签字或盖单位章。由投标人</w:t>
      </w:r>
      <w:r>
        <w:rPr>
          <w:color w:val="auto"/>
          <w:spacing w:val="-4"/>
          <w:highlight w:val="none"/>
        </w:rPr>
        <w:t>的法定代表人签字的，应附法定代表人身份证明，由代理人签字的，应附授权委托书，身份证</w:t>
      </w:r>
      <w:r>
        <w:rPr>
          <w:color w:val="auto"/>
          <w:highlight w:val="none"/>
        </w:rPr>
        <w:t>明或授权委托书应符合第六章</w:t>
      </w:r>
      <w:r>
        <w:rPr>
          <w:rFonts w:ascii="Times New Roman" w:hAnsi="Times New Roman" w:eastAsia="Times New Roman"/>
          <w:color w:val="auto"/>
          <w:highlight w:val="none"/>
        </w:rPr>
        <w:t>“</w:t>
      </w:r>
      <w:r>
        <w:rPr>
          <w:color w:val="auto"/>
          <w:highlight w:val="none"/>
        </w:rPr>
        <w:t>投标文件格式</w:t>
      </w:r>
      <w:r>
        <w:rPr>
          <w:rFonts w:ascii="Times New Roman" w:hAnsi="Times New Roman" w:eastAsia="Times New Roman"/>
          <w:color w:val="auto"/>
          <w:highlight w:val="none"/>
        </w:rPr>
        <w:t>”</w:t>
      </w:r>
      <w:r>
        <w:rPr>
          <w:color w:val="auto"/>
          <w:spacing w:val="-1"/>
          <w:highlight w:val="none"/>
        </w:rPr>
        <w:t>的要求。投标文件应尽量避免涂改、行间插字或</w:t>
      </w:r>
      <w:r>
        <w:rPr>
          <w:color w:val="auto"/>
          <w:spacing w:val="-4"/>
          <w:highlight w:val="none"/>
        </w:rPr>
        <w:t>删除。如果出现上述情况，改动之处应由投标人的法定代表人或其授权的代理人签字或盖单位</w:t>
      </w:r>
      <w:r>
        <w:rPr>
          <w:color w:val="auto"/>
          <w:highlight w:val="none"/>
        </w:rPr>
        <w:t>章。</w:t>
      </w:r>
    </w:p>
    <w:p>
      <w:pPr>
        <w:pStyle w:val="38"/>
        <w:numPr>
          <w:ilvl w:val="1"/>
          <w:numId w:val="6"/>
        </w:numPr>
        <w:tabs>
          <w:tab w:val="left" w:pos="1187"/>
        </w:tabs>
        <w:spacing w:line="360" w:lineRule="auto"/>
        <w:ind w:left="0" w:firstLine="200"/>
        <w:jc w:val="both"/>
        <w:rPr>
          <w:color w:val="auto"/>
          <w:sz w:val="21"/>
          <w:highlight w:val="none"/>
        </w:rPr>
      </w:pPr>
      <w:r>
        <w:rPr>
          <w:color w:val="auto"/>
          <w:spacing w:val="-7"/>
          <w:sz w:val="21"/>
          <w:highlight w:val="none"/>
        </w:rPr>
        <w:t>投标文件正本一份，副本份数见投标人须知前附表。正本和副本的封面右上角上应</w:t>
      </w:r>
      <w:r>
        <w:rPr>
          <w:color w:val="auto"/>
          <w:sz w:val="21"/>
          <w:highlight w:val="none"/>
        </w:rPr>
        <w:t>清楚地标记</w:t>
      </w:r>
      <w:r>
        <w:rPr>
          <w:rFonts w:ascii="Times New Roman" w:hAnsi="Times New Roman" w:eastAsia="Times New Roman"/>
          <w:color w:val="auto"/>
          <w:sz w:val="21"/>
          <w:highlight w:val="none"/>
        </w:rPr>
        <w:t>“</w:t>
      </w:r>
      <w:r>
        <w:rPr>
          <w:color w:val="auto"/>
          <w:sz w:val="21"/>
          <w:highlight w:val="none"/>
        </w:rPr>
        <w:t>正本</w:t>
      </w:r>
      <w:r>
        <w:rPr>
          <w:rFonts w:ascii="Times New Roman" w:hAnsi="Times New Roman" w:eastAsia="Times New Roman"/>
          <w:color w:val="auto"/>
          <w:sz w:val="21"/>
          <w:highlight w:val="none"/>
        </w:rPr>
        <w:t>”</w:t>
      </w:r>
      <w:r>
        <w:rPr>
          <w:color w:val="auto"/>
          <w:sz w:val="21"/>
          <w:highlight w:val="none"/>
        </w:rPr>
        <w:t>或</w:t>
      </w:r>
      <w:r>
        <w:rPr>
          <w:rFonts w:ascii="Times New Roman" w:hAnsi="Times New Roman" w:eastAsia="Times New Roman"/>
          <w:color w:val="auto"/>
          <w:sz w:val="21"/>
          <w:highlight w:val="none"/>
        </w:rPr>
        <w:t>“</w:t>
      </w:r>
      <w:r>
        <w:rPr>
          <w:color w:val="auto"/>
          <w:sz w:val="21"/>
          <w:highlight w:val="none"/>
        </w:rPr>
        <w:t>副本</w:t>
      </w:r>
      <w:r>
        <w:rPr>
          <w:rFonts w:ascii="Times New Roman" w:hAnsi="Times New Roman" w:eastAsia="Times New Roman"/>
          <w:color w:val="auto"/>
          <w:sz w:val="21"/>
          <w:highlight w:val="none"/>
        </w:rPr>
        <w:t>”</w:t>
      </w:r>
      <w:r>
        <w:rPr>
          <w:color w:val="auto"/>
          <w:sz w:val="21"/>
          <w:highlight w:val="none"/>
        </w:rPr>
        <w:t>的字样。投标人应根据投标人须知前附表要求提供电子版文件。当</w:t>
      </w:r>
      <w:r>
        <w:rPr>
          <w:color w:val="auto"/>
          <w:spacing w:val="-3"/>
          <w:sz w:val="21"/>
          <w:highlight w:val="none"/>
        </w:rPr>
        <w:t>副本和正本不一致或电子版文件和纸质正本文件不一致时，以纸质正本文件为准。</w:t>
      </w:r>
    </w:p>
    <w:p>
      <w:pPr>
        <w:pStyle w:val="38"/>
        <w:numPr>
          <w:ilvl w:val="1"/>
          <w:numId w:val="6"/>
        </w:numPr>
        <w:tabs>
          <w:tab w:val="left" w:pos="1190"/>
        </w:tabs>
        <w:spacing w:line="360" w:lineRule="auto"/>
        <w:ind w:left="0" w:firstLine="200"/>
        <w:rPr>
          <w:color w:val="auto"/>
          <w:sz w:val="21"/>
          <w:highlight w:val="none"/>
        </w:rPr>
      </w:pPr>
      <w:r>
        <w:rPr>
          <w:color w:val="auto"/>
          <w:spacing w:val="-7"/>
          <w:sz w:val="21"/>
          <w:highlight w:val="none"/>
        </w:rPr>
        <w:t>投标文件的正本与副本应分别装订，并编制目录，投标文件需分册装订的，具体分</w:t>
      </w:r>
      <w:r>
        <w:rPr>
          <w:color w:val="auto"/>
          <w:spacing w:val="-3"/>
          <w:sz w:val="21"/>
          <w:highlight w:val="none"/>
        </w:rPr>
        <w:t>册装订要求见投标人须知前附表规定。</w:t>
      </w:r>
    </w:p>
    <w:p>
      <w:pPr>
        <w:pStyle w:val="38"/>
        <w:numPr>
          <w:ilvl w:val="0"/>
          <w:numId w:val="2"/>
        </w:numPr>
        <w:tabs>
          <w:tab w:val="left" w:pos="642"/>
        </w:tabs>
        <w:spacing w:line="360" w:lineRule="auto"/>
        <w:ind w:left="0" w:firstLine="200"/>
        <w:rPr>
          <w:rFonts w:asciiTheme="minorEastAsia" w:hAnsiTheme="minorEastAsia" w:eastAsiaTheme="minorEastAsia"/>
          <w:b/>
          <w:color w:val="auto"/>
          <w:sz w:val="32"/>
          <w:highlight w:val="none"/>
        </w:rPr>
      </w:pPr>
      <w:bookmarkStart w:id="92" w:name="_bookmark49"/>
      <w:bookmarkEnd w:id="92"/>
      <w:bookmarkStart w:id="93" w:name="_Toc27034_WPSOffice_Level2"/>
      <w:r>
        <w:rPr>
          <w:rFonts w:hint="eastAsia" w:asciiTheme="minorEastAsia" w:hAnsiTheme="minorEastAsia" w:eastAsiaTheme="minorEastAsia"/>
          <w:b/>
          <w:color w:val="auto"/>
          <w:sz w:val="32"/>
          <w:highlight w:val="none"/>
        </w:rPr>
        <w:t>投标</w:t>
      </w:r>
      <w:bookmarkEnd w:id="93"/>
    </w:p>
    <w:p>
      <w:pPr>
        <w:pStyle w:val="5"/>
        <w:numPr>
          <w:ilvl w:val="1"/>
          <w:numId w:val="2"/>
        </w:numPr>
        <w:tabs>
          <w:tab w:val="left" w:pos="867"/>
        </w:tabs>
        <w:spacing w:line="360" w:lineRule="auto"/>
        <w:ind w:left="0" w:firstLine="200"/>
        <w:rPr>
          <w:color w:val="auto"/>
          <w:highlight w:val="none"/>
        </w:rPr>
      </w:pPr>
      <w:bookmarkStart w:id="94" w:name="_bookmark50"/>
      <w:bookmarkEnd w:id="94"/>
      <w:bookmarkStart w:id="95" w:name="_Toc28013_WPSOffice_Level3"/>
      <w:bookmarkStart w:id="96" w:name="_Toc16275"/>
      <w:r>
        <w:rPr>
          <w:color w:val="auto"/>
          <w:spacing w:val="-2"/>
          <w:highlight w:val="none"/>
        </w:rPr>
        <w:t>投标文件的密封和标记</w:t>
      </w:r>
      <w:bookmarkEnd w:id="95"/>
      <w:bookmarkEnd w:id="96"/>
    </w:p>
    <w:p>
      <w:pPr>
        <w:pStyle w:val="38"/>
        <w:tabs>
          <w:tab w:val="left" w:pos="1182"/>
        </w:tabs>
        <w:spacing w:line="360" w:lineRule="auto"/>
        <w:ind w:left="200" w:firstLine="408" w:firstLineChars="200"/>
        <w:rPr>
          <w:color w:val="auto"/>
          <w:spacing w:val="-3"/>
          <w:sz w:val="21"/>
          <w:highlight w:val="none"/>
        </w:rPr>
      </w:pPr>
      <w:r>
        <w:rPr>
          <w:rFonts w:hint="eastAsia"/>
          <w:color w:val="auto"/>
          <w:spacing w:val="-3"/>
          <w:sz w:val="21"/>
          <w:highlight w:val="none"/>
        </w:rPr>
        <w:t xml:space="preserve">4.1.1    </w:t>
      </w:r>
      <w:r>
        <w:rPr>
          <w:color w:val="auto"/>
          <w:spacing w:val="-3"/>
          <w:sz w:val="21"/>
          <w:highlight w:val="none"/>
        </w:rPr>
        <w:t>投标文件应密封包装，并在封套的封口处加盖投标人单位章或由投标人的法定代表人或其授权的代理人签字。</w:t>
      </w:r>
    </w:p>
    <w:p>
      <w:pPr>
        <w:pStyle w:val="38"/>
        <w:tabs>
          <w:tab w:val="left" w:pos="1186"/>
        </w:tabs>
        <w:spacing w:line="360" w:lineRule="auto"/>
        <w:ind w:left="0" w:firstLine="612" w:firstLineChars="300"/>
        <w:rPr>
          <w:color w:val="auto"/>
          <w:spacing w:val="-3"/>
          <w:sz w:val="21"/>
          <w:highlight w:val="none"/>
        </w:rPr>
      </w:pPr>
      <w:r>
        <w:rPr>
          <w:rFonts w:hint="eastAsia"/>
          <w:color w:val="auto"/>
          <w:spacing w:val="-3"/>
          <w:sz w:val="21"/>
          <w:highlight w:val="none"/>
        </w:rPr>
        <w:t xml:space="preserve">4.1.2    </w:t>
      </w:r>
      <w:r>
        <w:rPr>
          <w:color w:val="auto"/>
          <w:spacing w:val="-3"/>
          <w:sz w:val="21"/>
          <w:highlight w:val="none"/>
        </w:rPr>
        <w:t>投标文件封套上应写明的内容见投标人须知前附表。</w:t>
      </w:r>
    </w:p>
    <w:p>
      <w:pPr>
        <w:pStyle w:val="38"/>
        <w:tabs>
          <w:tab w:val="left" w:pos="1186"/>
        </w:tabs>
        <w:spacing w:line="360" w:lineRule="auto"/>
        <w:ind w:left="0" w:firstLine="612" w:firstLineChars="300"/>
        <w:rPr>
          <w:color w:val="auto"/>
          <w:spacing w:val="-3"/>
          <w:sz w:val="21"/>
          <w:highlight w:val="none"/>
        </w:rPr>
      </w:pPr>
      <w:r>
        <w:rPr>
          <w:rFonts w:hint="eastAsia"/>
          <w:color w:val="auto"/>
          <w:spacing w:val="-3"/>
          <w:sz w:val="21"/>
          <w:highlight w:val="none"/>
        </w:rPr>
        <w:t xml:space="preserve">4.1.3    </w:t>
      </w:r>
      <w:r>
        <w:rPr>
          <w:color w:val="auto"/>
          <w:spacing w:val="-3"/>
          <w:sz w:val="21"/>
          <w:highlight w:val="none"/>
        </w:rPr>
        <w:t>未按本章第 4.1.1 项要求密封的投标文件，招标人将予以拒收。</w:t>
      </w:r>
    </w:p>
    <w:p>
      <w:pPr>
        <w:pStyle w:val="5"/>
        <w:numPr>
          <w:ilvl w:val="1"/>
          <w:numId w:val="2"/>
        </w:numPr>
        <w:tabs>
          <w:tab w:val="left" w:pos="867"/>
        </w:tabs>
        <w:spacing w:line="360" w:lineRule="auto"/>
        <w:ind w:left="0" w:firstLine="200"/>
        <w:rPr>
          <w:color w:val="auto"/>
          <w:highlight w:val="none"/>
        </w:rPr>
      </w:pPr>
      <w:bookmarkStart w:id="97" w:name="_bookmark51"/>
      <w:bookmarkEnd w:id="97"/>
      <w:bookmarkStart w:id="98" w:name="_Toc27556"/>
      <w:bookmarkStart w:id="99" w:name="_Toc5641_WPSOffice_Level3"/>
      <w:r>
        <w:rPr>
          <w:color w:val="auto"/>
          <w:spacing w:val="-1"/>
          <w:highlight w:val="none"/>
        </w:rPr>
        <w:t>投标文件的递交</w:t>
      </w:r>
      <w:bookmarkEnd w:id="98"/>
      <w:bookmarkEnd w:id="99"/>
    </w:p>
    <w:p>
      <w:pPr>
        <w:pStyle w:val="38"/>
        <w:tabs>
          <w:tab w:val="left" w:pos="1186"/>
        </w:tabs>
        <w:spacing w:line="360" w:lineRule="auto"/>
        <w:ind w:left="440" w:leftChars="200" w:firstLine="198"/>
        <w:rPr>
          <w:color w:val="auto"/>
          <w:sz w:val="21"/>
          <w:highlight w:val="none"/>
        </w:rPr>
      </w:pPr>
      <w:r>
        <w:rPr>
          <w:rFonts w:hint="eastAsia"/>
          <w:color w:val="auto"/>
          <w:spacing w:val="-3"/>
          <w:sz w:val="21"/>
          <w:highlight w:val="none"/>
          <w:lang w:val="en-US"/>
        </w:rPr>
        <w:t xml:space="preserve">4.2.1    </w:t>
      </w:r>
      <w:r>
        <w:rPr>
          <w:color w:val="auto"/>
          <w:spacing w:val="-3"/>
          <w:sz w:val="21"/>
          <w:highlight w:val="none"/>
        </w:rPr>
        <w:t>投标人应在投标人须知前附表规定的投标截止时间前递交投标文件。</w:t>
      </w:r>
    </w:p>
    <w:p>
      <w:pPr>
        <w:pStyle w:val="38"/>
        <w:tabs>
          <w:tab w:val="left" w:pos="1186"/>
        </w:tabs>
        <w:spacing w:line="360" w:lineRule="auto"/>
        <w:ind w:left="440" w:leftChars="200" w:firstLine="198"/>
        <w:rPr>
          <w:color w:val="auto"/>
          <w:sz w:val="21"/>
          <w:highlight w:val="none"/>
        </w:rPr>
      </w:pPr>
      <w:r>
        <w:rPr>
          <w:rFonts w:hint="eastAsia"/>
          <w:color w:val="auto"/>
          <w:spacing w:val="-3"/>
          <w:sz w:val="21"/>
          <w:highlight w:val="none"/>
          <w:lang w:val="en-US"/>
        </w:rPr>
        <w:t xml:space="preserve">4.2.2    </w:t>
      </w:r>
      <w:r>
        <w:rPr>
          <w:color w:val="auto"/>
          <w:spacing w:val="-3"/>
          <w:sz w:val="21"/>
          <w:highlight w:val="none"/>
        </w:rPr>
        <w:t>投标人递交投标文件的地点：见投标人须知前附表。</w:t>
      </w:r>
    </w:p>
    <w:p>
      <w:pPr>
        <w:pStyle w:val="38"/>
        <w:tabs>
          <w:tab w:val="left" w:pos="1186"/>
        </w:tabs>
        <w:spacing w:line="360" w:lineRule="auto"/>
        <w:ind w:left="440" w:leftChars="200" w:firstLine="198"/>
        <w:rPr>
          <w:color w:val="auto"/>
          <w:sz w:val="21"/>
          <w:highlight w:val="none"/>
        </w:rPr>
      </w:pPr>
      <w:r>
        <w:rPr>
          <w:rFonts w:hint="eastAsia"/>
          <w:color w:val="auto"/>
          <w:spacing w:val="-3"/>
          <w:sz w:val="21"/>
          <w:highlight w:val="none"/>
          <w:lang w:val="en-US"/>
        </w:rPr>
        <w:t xml:space="preserve">4.2.3    </w:t>
      </w:r>
      <w:r>
        <w:rPr>
          <w:color w:val="auto"/>
          <w:spacing w:val="-3"/>
          <w:sz w:val="21"/>
          <w:highlight w:val="none"/>
        </w:rPr>
        <w:t>除投标人须知前附表另有规定外，投标人所递交的投标文件不予退还。</w:t>
      </w:r>
    </w:p>
    <w:p>
      <w:pPr>
        <w:pStyle w:val="38"/>
        <w:tabs>
          <w:tab w:val="left" w:pos="1186"/>
        </w:tabs>
        <w:spacing w:line="360" w:lineRule="auto"/>
        <w:ind w:left="440" w:leftChars="200" w:firstLine="198"/>
        <w:rPr>
          <w:color w:val="auto"/>
          <w:sz w:val="21"/>
          <w:highlight w:val="none"/>
        </w:rPr>
      </w:pPr>
      <w:r>
        <w:rPr>
          <w:rFonts w:hint="eastAsia"/>
          <w:color w:val="auto"/>
          <w:spacing w:val="-3"/>
          <w:sz w:val="21"/>
          <w:highlight w:val="none"/>
          <w:lang w:val="en-US"/>
        </w:rPr>
        <w:t xml:space="preserve">4.2.4    </w:t>
      </w:r>
      <w:r>
        <w:rPr>
          <w:color w:val="auto"/>
          <w:spacing w:val="-3"/>
          <w:sz w:val="21"/>
          <w:highlight w:val="none"/>
        </w:rPr>
        <w:t>招标人收到投标文件后，向投标人出具签收凭证。</w:t>
      </w:r>
    </w:p>
    <w:p>
      <w:pPr>
        <w:pStyle w:val="38"/>
        <w:tabs>
          <w:tab w:val="left" w:pos="1186"/>
        </w:tabs>
        <w:spacing w:line="360" w:lineRule="auto"/>
        <w:ind w:left="440" w:leftChars="200" w:firstLine="198"/>
        <w:rPr>
          <w:color w:val="auto"/>
          <w:highlight w:val="none"/>
        </w:rPr>
      </w:pPr>
      <w:r>
        <w:rPr>
          <w:rFonts w:hint="eastAsia"/>
          <w:color w:val="auto"/>
          <w:spacing w:val="-3"/>
          <w:sz w:val="21"/>
          <w:highlight w:val="none"/>
          <w:lang w:val="en-US"/>
        </w:rPr>
        <w:t xml:space="preserve">4.2.5    </w:t>
      </w:r>
      <w:r>
        <w:rPr>
          <w:color w:val="auto"/>
          <w:spacing w:val="-3"/>
          <w:sz w:val="21"/>
          <w:highlight w:val="none"/>
        </w:rPr>
        <w:t>逾期送达的投标文件，招标人将予以拒收。</w:t>
      </w:r>
    </w:p>
    <w:p>
      <w:pPr>
        <w:pStyle w:val="5"/>
        <w:numPr>
          <w:ilvl w:val="1"/>
          <w:numId w:val="2"/>
        </w:numPr>
        <w:tabs>
          <w:tab w:val="left" w:pos="867"/>
        </w:tabs>
        <w:spacing w:line="360" w:lineRule="auto"/>
        <w:ind w:left="0" w:firstLine="200"/>
        <w:rPr>
          <w:color w:val="auto"/>
          <w:highlight w:val="none"/>
        </w:rPr>
      </w:pPr>
      <w:bookmarkStart w:id="100" w:name="_bookmark52"/>
      <w:bookmarkEnd w:id="100"/>
      <w:bookmarkStart w:id="101" w:name="_Toc28492_WPSOffice_Level3"/>
      <w:bookmarkStart w:id="102" w:name="_Toc16950"/>
      <w:r>
        <w:rPr>
          <w:color w:val="auto"/>
          <w:spacing w:val="-2"/>
          <w:highlight w:val="none"/>
        </w:rPr>
        <w:t>投标文件的修改与撤回</w:t>
      </w:r>
      <w:bookmarkEnd w:id="101"/>
      <w:bookmarkEnd w:id="102"/>
    </w:p>
    <w:p>
      <w:pPr>
        <w:pStyle w:val="38"/>
        <w:tabs>
          <w:tab w:val="left" w:pos="1186"/>
        </w:tabs>
        <w:spacing w:line="360" w:lineRule="auto"/>
        <w:ind w:left="440" w:leftChars="200" w:firstLine="198"/>
        <w:rPr>
          <w:color w:val="auto"/>
          <w:spacing w:val="-3"/>
          <w:sz w:val="21"/>
          <w:highlight w:val="none"/>
          <w:lang w:val="en-US"/>
        </w:rPr>
      </w:pPr>
      <w:r>
        <w:rPr>
          <w:rFonts w:hint="eastAsia"/>
          <w:color w:val="auto"/>
          <w:spacing w:val="-3"/>
          <w:sz w:val="21"/>
          <w:highlight w:val="none"/>
          <w:lang w:val="en-US"/>
        </w:rPr>
        <w:t xml:space="preserve">4.3.1     </w:t>
      </w:r>
      <w:r>
        <w:rPr>
          <w:color w:val="auto"/>
          <w:spacing w:val="-3"/>
          <w:sz w:val="21"/>
          <w:highlight w:val="none"/>
          <w:lang w:val="en-US"/>
        </w:rPr>
        <w:t>在本章第 4.2.1 项规定的投标截止时间前，投标人可以修改或撤回已递交的投标文件， 但应以书面形式通知招标人。</w:t>
      </w:r>
    </w:p>
    <w:p>
      <w:pPr>
        <w:pStyle w:val="38"/>
        <w:tabs>
          <w:tab w:val="left" w:pos="1184"/>
        </w:tabs>
        <w:spacing w:line="360" w:lineRule="auto"/>
        <w:ind w:left="440" w:leftChars="200" w:firstLine="198"/>
        <w:rPr>
          <w:color w:val="auto"/>
          <w:spacing w:val="-3"/>
          <w:sz w:val="21"/>
          <w:highlight w:val="none"/>
          <w:lang w:val="en-US"/>
        </w:rPr>
      </w:pPr>
      <w:r>
        <w:rPr>
          <w:color w:val="auto"/>
          <w:spacing w:val="-3"/>
          <w:sz w:val="21"/>
          <w:highlight w:val="none"/>
          <w:lang w:val="en-US"/>
        </w:rPr>
        <w:t>投标人修改或撤回已递交投标文件的书面通知应按照本章第 3.7.3项的要求签字或盖章。招标人收到书面通知后，向投标人出具签收凭证。</w:t>
      </w:r>
    </w:p>
    <w:p>
      <w:pPr>
        <w:pStyle w:val="38"/>
        <w:tabs>
          <w:tab w:val="left" w:pos="1186"/>
        </w:tabs>
        <w:spacing w:line="360" w:lineRule="auto"/>
        <w:ind w:left="440" w:leftChars="200" w:firstLine="198"/>
        <w:rPr>
          <w:color w:val="auto"/>
          <w:spacing w:val="-3"/>
          <w:sz w:val="21"/>
          <w:highlight w:val="none"/>
          <w:lang w:val="en-US"/>
        </w:rPr>
      </w:pPr>
      <w:r>
        <w:rPr>
          <w:rFonts w:hint="eastAsia"/>
          <w:color w:val="auto"/>
          <w:spacing w:val="-3"/>
          <w:sz w:val="21"/>
          <w:highlight w:val="none"/>
          <w:lang w:val="en-US"/>
        </w:rPr>
        <w:t xml:space="preserve">4.3.3     </w:t>
      </w:r>
      <w:r>
        <w:rPr>
          <w:color w:val="auto"/>
          <w:spacing w:val="-3"/>
          <w:sz w:val="21"/>
          <w:highlight w:val="none"/>
          <w:lang w:val="en-US"/>
        </w:rPr>
        <w:t>投标人撤回投标文件的，招标人自收到投标人书面撤回通知之日起 5 日内退还已收取的投标保证金。</w:t>
      </w:r>
    </w:p>
    <w:p>
      <w:pPr>
        <w:pStyle w:val="38"/>
        <w:tabs>
          <w:tab w:val="left" w:pos="1186"/>
        </w:tabs>
        <w:spacing w:line="360" w:lineRule="auto"/>
        <w:ind w:left="440" w:leftChars="200" w:firstLine="198"/>
        <w:rPr>
          <w:color w:val="auto"/>
          <w:sz w:val="21"/>
          <w:highlight w:val="none"/>
        </w:rPr>
      </w:pPr>
      <w:r>
        <w:rPr>
          <w:rFonts w:hint="eastAsia"/>
          <w:color w:val="auto"/>
          <w:spacing w:val="-3"/>
          <w:sz w:val="21"/>
          <w:highlight w:val="none"/>
          <w:lang w:val="en-US"/>
        </w:rPr>
        <w:t xml:space="preserve">4.3.4     </w:t>
      </w:r>
      <w:r>
        <w:rPr>
          <w:color w:val="auto"/>
          <w:spacing w:val="-3"/>
          <w:sz w:val="21"/>
          <w:highlight w:val="none"/>
          <w:lang w:val="en-US"/>
        </w:rPr>
        <w:t>修改的内容为投标文件的组成部分。修改的投标文件应按照本章第 3 条、第 4 条的规定进行编</w:t>
      </w:r>
      <w:r>
        <w:rPr>
          <w:color w:val="auto"/>
          <w:spacing w:val="-3"/>
          <w:sz w:val="21"/>
          <w:highlight w:val="none"/>
        </w:rPr>
        <w:t>制、密封、标记和递交，并标明</w:t>
      </w:r>
      <w:r>
        <w:rPr>
          <w:rFonts w:ascii="Times New Roman" w:hAnsi="Times New Roman" w:eastAsia="Times New Roman"/>
          <w:color w:val="auto"/>
          <w:sz w:val="21"/>
          <w:highlight w:val="none"/>
        </w:rPr>
        <w:t>“</w:t>
      </w:r>
      <w:r>
        <w:rPr>
          <w:color w:val="auto"/>
          <w:spacing w:val="-2"/>
          <w:sz w:val="21"/>
          <w:highlight w:val="none"/>
        </w:rPr>
        <w:t>修改</w:t>
      </w:r>
      <w:r>
        <w:rPr>
          <w:rFonts w:ascii="Times New Roman" w:hAnsi="Times New Roman" w:eastAsia="Times New Roman"/>
          <w:color w:val="auto"/>
          <w:sz w:val="21"/>
          <w:highlight w:val="none"/>
        </w:rPr>
        <w:t>”</w:t>
      </w:r>
      <w:r>
        <w:rPr>
          <w:color w:val="auto"/>
          <w:spacing w:val="-2"/>
          <w:sz w:val="21"/>
          <w:highlight w:val="none"/>
        </w:rPr>
        <w:t>字样。</w:t>
      </w:r>
    </w:p>
    <w:p>
      <w:pPr>
        <w:pStyle w:val="38"/>
        <w:numPr>
          <w:ilvl w:val="0"/>
          <w:numId w:val="2"/>
        </w:numPr>
        <w:tabs>
          <w:tab w:val="left" w:pos="642"/>
        </w:tabs>
        <w:spacing w:line="360" w:lineRule="auto"/>
        <w:ind w:left="0" w:firstLine="200"/>
        <w:rPr>
          <w:rFonts w:asciiTheme="minorEastAsia" w:hAnsiTheme="minorEastAsia" w:eastAsiaTheme="minorEastAsia"/>
          <w:b/>
          <w:color w:val="auto"/>
          <w:sz w:val="32"/>
          <w:highlight w:val="none"/>
        </w:rPr>
      </w:pPr>
      <w:bookmarkStart w:id="103" w:name="_bookmark53"/>
      <w:bookmarkEnd w:id="103"/>
      <w:bookmarkStart w:id="104" w:name="_Toc26400_WPSOffice_Level2"/>
      <w:r>
        <w:rPr>
          <w:rFonts w:hint="eastAsia" w:asciiTheme="minorEastAsia" w:hAnsiTheme="minorEastAsia" w:eastAsiaTheme="minorEastAsia"/>
          <w:b/>
          <w:color w:val="auto"/>
          <w:sz w:val="32"/>
          <w:highlight w:val="none"/>
        </w:rPr>
        <w:t>开标</w:t>
      </w:r>
      <w:bookmarkEnd w:id="104"/>
    </w:p>
    <w:p>
      <w:pPr>
        <w:pStyle w:val="5"/>
        <w:numPr>
          <w:ilvl w:val="1"/>
          <w:numId w:val="2"/>
        </w:numPr>
        <w:tabs>
          <w:tab w:val="left" w:pos="867"/>
        </w:tabs>
        <w:spacing w:line="360" w:lineRule="auto"/>
        <w:ind w:left="0" w:firstLine="200"/>
        <w:rPr>
          <w:color w:val="auto"/>
          <w:highlight w:val="none"/>
        </w:rPr>
      </w:pPr>
      <w:bookmarkStart w:id="105" w:name="_bookmark54"/>
      <w:bookmarkEnd w:id="105"/>
      <w:bookmarkStart w:id="106" w:name="_Toc17308"/>
      <w:bookmarkStart w:id="107" w:name="_Toc24362_WPSOffice_Level3"/>
      <w:r>
        <w:rPr>
          <w:color w:val="auto"/>
          <w:spacing w:val="-2"/>
          <w:highlight w:val="none"/>
        </w:rPr>
        <w:t>开标时间和地点</w:t>
      </w:r>
      <w:bookmarkEnd w:id="106"/>
      <w:bookmarkEnd w:id="107"/>
    </w:p>
    <w:p>
      <w:pPr>
        <w:pStyle w:val="2"/>
        <w:spacing w:line="360" w:lineRule="auto"/>
        <w:ind w:firstLine="392" w:firstLineChars="200"/>
        <w:jc w:val="both"/>
        <w:rPr>
          <w:color w:val="auto"/>
          <w:highlight w:val="none"/>
        </w:rPr>
      </w:pPr>
      <w:r>
        <w:rPr>
          <w:color w:val="auto"/>
          <w:spacing w:val="-7"/>
          <w:highlight w:val="none"/>
        </w:rPr>
        <w:t xml:space="preserve">招标人在本章第 </w:t>
      </w:r>
      <w:r>
        <w:rPr>
          <w:rFonts w:ascii="Times New Roman" w:eastAsia="Times New Roman"/>
          <w:color w:val="auto"/>
          <w:highlight w:val="none"/>
        </w:rPr>
        <w:t xml:space="preserve">4.2.1 </w:t>
      </w:r>
      <w:r>
        <w:rPr>
          <w:color w:val="auto"/>
          <w:spacing w:val="-7"/>
          <w:highlight w:val="none"/>
        </w:rPr>
        <w:t>项规定的投标截止时间</w:t>
      </w:r>
      <w:r>
        <w:rPr>
          <w:color w:val="auto"/>
          <w:spacing w:val="-3"/>
          <w:highlight w:val="none"/>
        </w:rPr>
        <w:t>（</w:t>
      </w:r>
      <w:r>
        <w:rPr>
          <w:color w:val="auto"/>
          <w:spacing w:val="-2"/>
          <w:highlight w:val="none"/>
        </w:rPr>
        <w:t>开标时间</w:t>
      </w:r>
      <w:r>
        <w:rPr>
          <w:color w:val="auto"/>
          <w:spacing w:val="-41"/>
          <w:highlight w:val="none"/>
        </w:rPr>
        <w:t>）</w:t>
      </w:r>
      <w:r>
        <w:rPr>
          <w:color w:val="auto"/>
          <w:spacing w:val="-3"/>
          <w:highlight w:val="none"/>
        </w:rPr>
        <w:t>和投标人须知前附表规定的地点公开开标，并邀请所有投标人的法定代表人或其委托代理人准时参加。</w:t>
      </w:r>
    </w:p>
    <w:p>
      <w:pPr>
        <w:pStyle w:val="38"/>
        <w:tabs>
          <w:tab w:val="left" w:pos="867"/>
        </w:tabs>
        <w:spacing w:line="360" w:lineRule="auto"/>
        <w:ind w:left="0" w:firstLine="200"/>
        <w:rPr>
          <w:color w:val="auto"/>
          <w:sz w:val="28"/>
          <w:highlight w:val="none"/>
        </w:rPr>
      </w:pPr>
      <w:bookmarkStart w:id="108" w:name="_bookmark55"/>
      <w:bookmarkEnd w:id="108"/>
      <w:bookmarkStart w:id="109" w:name="_bookmark56"/>
      <w:bookmarkEnd w:id="109"/>
      <w:bookmarkStart w:id="110" w:name="_Toc32204_WPSOffice_Level3"/>
      <w:r>
        <w:rPr>
          <w:rFonts w:hint="eastAsia"/>
          <w:color w:val="auto"/>
          <w:sz w:val="28"/>
          <w:highlight w:val="none"/>
          <w:lang w:val="en-US"/>
        </w:rPr>
        <w:t xml:space="preserve">5.2 </w:t>
      </w:r>
      <w:r>
        <w:rPr>
          <w:color w:val="auto"/>
          <w:sz w:val="28"/>
          <w:highlight w:val="none"/>
        </w:rPr>
        <w:t>开标程序</w:t>
      </w:r>
      <w:bookmarkEnd w:id="110"/>
    </w:p>
    <w:p>
      <w:pPr>
        <w:pStyle w:val="2"/>
        <w:spacing w:line="360" w:lineRule="auto"/>
        <w:ind w:firstLine="420" w:firstLineChars="200"/>
        <w:rPr>
          <w:color w:val="auto"/>
          <w:highlight w:val="none"/>
        </w:rPr>
      </w:pPr>
      <w:r>
        <w:rPr>
          <w:color w:val="auto"/>
          <w:highlight w:val="none"/>
        </w:rPr>
        <w:t>主持人按下列程序进行开标：</w:t>
      </w:r>
    </w:p>
    <w:p>
      <w:pPr>
        <w:pStyle w:val="38"/>
        <w:tabs>
          <w:tab w:val="left" w:pos="1190"/>
        </w:tabs>
        <w:spacing w:line="360" w:lineRule="auto"/>
        <w:ind w:left="440" w:leftChars="200" w:firstLine="198"/>
        <w:rPr>
          <w:color w:val="auto"/>
          <w:spacing w:val="-3"/>
          <w:sz w:val="21"/>
          <w:highlight w:val="none"/>
          <w:lang w:val="en-US"/>
        </w:rPr>
      </w:pPr>
      <w:r>
        <w:rPr>
          <w:rFonts w:hint="eastAsia"/>
          <w:color w:val="auto"/>
          <w:spacing w:val="-3"/>
          <w:sz w:val="21"/>
          <w:highlight w:val="none"/>
          <w:lang w:val="en-US"/>
        </w:rPr>
        <w:t>（1）</w:t>
      </w:r>
      <w:r>
        <w:rPr>
          <w:color w:val="auto"/>
          <w:spacing w:val="-3"/>
          <w:sz w:val="21"/>
          <w:highlight w:val="none"/>
          <w:lang w:val="en-US"/>
        </w:rPr>
        <w:t>宣布开标纪律；</w:t>
      </w:r>
    </w:p>
    <w:p>
      <w:pPr>
        <w:pStyle w:val="38"/>
        <w:tabs>
          <w:tab w:val="left" w:pos="1190"/>
        </w:tabs>
        <w:spacing w:line="360" w:lineRule="auto"/>
        <w:ind w:left="440" w:leftChars="200" w:firstLine="198"/>
        <w:rPr>
          <w:color w:val="auto"/>
          <w:spacing w:val="-3"/>
          <w:sz w:val="21"/>
          <w:highlight w:val="none"/>
          <w:lang w:val="en-US"/>
        </w:rPr>
      </w:pPr>
      <w:r>
        <w:rPr>
          <w:rFonts w:hint="eastAsia"/>
          <w:color w:val="auto"/>
          <w:spacing w:val="-3"/>
          <w:sz w:val="21"/>
          <w:highlight w:val="none"/>
          <w:lang w:val="en-US"/>
        </w:rPr>
        <w:t>（2）</w:t>
      </w:r>
      <w:r>
        <w:rPr>
          <w:color w:val="auto"/>
          <w:spacing w:val="-3"/>
          <w:sz w:val="21"/>
          <w:highlight w:val="none"/>
          <w:lang w:val="en-US"/>
        </w:rPr>
        <w:t>公布在投标截止时间前递交投标文件的投标人名称；</w:t>
      </w:r>
    </w:p>
    <w:p>
      <w:pPr>
        <w:pStyle w:val="38"/>
        <w:tabs>
          <w:tab w:val="left" w:pos="1190"/>
        </w:tabs>
        <w:spacing w:line="360" w:lineRule="auto"/>
        <w:ind w:left="440" w:leftChars="200" w:firstLine="198"/>
        <w:rPr>
          <w:color w:val="auto"/>
          <w:spacing w:val="-3"/>
          <w:sz w:val="21"/>
          <w:highlight w:val="none"/>
          <w:lang w:val="en-US"/>
        </w:rPr>
      </w:pPr>
      <w:r>
        <w:rPr>
          <w:rFonts w:hint="eastAsia"/>
          <w:color w:val="auto"/>
          <w:spacing w:val="-3"/>
          <w:sz w:val="21"/>
          <w:highlight w:val="none"/>
          <w:lang w:val="en-US"/>
        </w:rPr>
        <w:t>（3）</w:t>
      </w:r>
      <w:r>
        <w:rPr>
          <w:color w:val="auto"/>
          <w:spacing w:val="-3"/>
          <w:sz w:val="21"/>
          <w:highlight w:val="none"/>
          <w:lang w:val="en-US"/>
        </w:rPr>
        <w:t>宣布开标人、唱标人、记录人、监标人等有关人员姓名；</w:t>
      </w:r>
    </w:p>
    <w:p>
      <w:pPr>
        <w:pStyle w:val="38"/>
        <w:tabs>
          <w:tab w:val="left" w:pos="1186"/>
        </w:tabs>
        <w:spacing w:line="360" w:lineRule="auto"/>
        <w:ind w:left="440" w:leftChars="200" w:firstLine="198"/>
        <w:rPr>
          <w:color w:val="auto"/>
          <w:spacing w:val="-3"/>
          <w:sz w:val="21"/>
          <w:highlight w:val="none"/>
          <w:lang w:val="en-US"/>
        </w:rPr>
      </w:pPr>
      <w:r>
        <w:rPr>
          <w:rFonts w:hint="eastAsia"/>
          <w:color w:val="auto"/>
          <w:spacing w:val="-3"/>
          <w:sz w:val="21"/>
          <w:highlight w:val="none"/>
          <w:lang w:val="en-US"/>
        </w:rPr>
        <w:t>（4）</w:t>
      </w:r>
      <w:r>
        <w:rPr>
          <w:color w:val="auto"/>
          <w:spacing w:val="-3"/>
          <w:sz w:val="21"/>
          <w:highlight w:val="none"/>
          <w:lang w:val="en-US"/>
        </w:rPr>
        <w:t>检查投标文件的密封情况，按照投标人须知前附表规定的开标顺序当众开标，公布招标项目名称、投标人名称、投标保证金的递交情况、投标报价、服务期限及其他内容，并记录在案；</w:t>
      </w:r>
    </w:p>
    <w:p>
      <w:pPr>
        <w:pStyle w:val="38"/>
        <w:tabs>
          <w:tab w:val="left" w:pos="1186"/>
        </w:tabs>
        <w:spacing w:line="360" w:lineRule="auto"/>
        <w:ind w:left="440" w:leftChars="200" w:firstLine="198"/>
        <w:rPr>
          <w:color w:val="auto"/>
          <w:spacing w:val="-3"/>
          <w:sz w:val="21"/>
          <w:highlight w:val="none"/>
          <w:lang w:val="en-US"/>
        </w:rPr>
      </w:pPr>
      <w:r>
        <w:rPr>
          <w:color w:val="auto"/>
          <w:spacing w:val="-3"/>
          <w:sz w:val="21"/>
          <w:highlight w:val="none"/>
          <w:lang w:val="en-US"/>
        </w:rPr>
        <w:t>（5）投标人代表、招标人代表、监标人、记录人等有关人员在开标记录上签字确认；</w:t>
      </w:r>
    </w:p>
    <w:p>
      <w:pPr>
        <w:pStyle w:val="38"/>
        <w:tabs>
          <w:tab w:val="left" w:pos="1186"/>
        </w:tabs>
        <w:spacing w:line="360" w:lineRule="auto"/>
        <w:ind w:left="440" w:leftChars="200" w:firstLine="198"/>
        <w:rPr>
          <w:color w:val="auto"/>
          <w:spacing w:val="-3"/>
          <w:sz w:val="21"/>
          <w:highlight w:val="none"/>
          <w:lang w:val="en-US"/>
        </w:rPr>
      </w:pPr>
      <w:r>
        <w:rPr>
          <w:color w:val="auto"/>
          <w:spacing w:val="-3"/>
          <w:sz w:val="21"/>
          <w:highlight w:val="none"/>
          <w:lang w:val="en-US"/>
        </w:rPr>
        <w:t>（6）开标结束。</w:t>
      </w:r>
    </w:p>
    <w:p>
      <w:pPr>
        <w:pStyle w:val="38"/>
        <w:numPr>
          <w:ilvl w:val="1"/>
          <w:numId w:val="8"/>
        </w:numPr>
        <w:tabs>
          <w:tab w:val="left" w:pos="867"/>
        </w:tabs>
        <w:spacing w:line="360" w:lineRule="auto"/>
        <w:ind w:left="0" w:firstLine="200"/>
        <w:rPr>
          <w:color w:val="auto"/>
          <w:sz w:val="28"/>
          <w:highlight w:val="none"/>
        </w:rPr>
      </w:pPr>
      <w:bookmarkStart w:id="111" w:name="_bookmark57"/>
      <w:bookmarkEnd w:id="111"/>
      <w:bookmarkStart w:id="112" w:name="_Toc29602_WPSOffice_Level3"/>
      <w:r>
        <w:rPr>
          <w:color w:val="auto"/>
          <w:sz w:val="28"/>
          <w:highlight w:val="none"/>
        </w:rPr>
        <w:t>开标异议</w:t>
      </w:r>
      <w:bookmarkEnd w:id="112"/>
    </w:p>
    <w:p>
      <w:pPr>
        <w:pStyle w:val="2"/>
        <w:spacing w:line="360" w:lineRule="auto"/>
        <w:ind w:firstLine="525" w:firstLineChars="250"/>
        <w:rPr>
          <w:color w:val="auto"/>
          <w:highlight w:val="none"/>
        </w:rPr>
      </w:pPr>
      <w:r>
        <w:rPr>
          <w:color w:val="auto"/>
          <w:highlight w:val="none"/>
        </w:rPr>
        <w:t>投标人对开标有异议的，应当在开标现场提出，招标人当场作出答复，并制作记录。</w:t>
      </w:r>
    </w:p>
    <w:p>
      <w:pPr>
        <w:pStyle w:val="38"/>
        <w:numPr>
          <w:ilvl w:val="0"/>
          <w:numId w:val="2"/>
        </w:numPr>
        <w:tabs>
          <w:tab w:val="left" w:pos="642"/>
        </w:tabs>
        <w:spacing w:line="360" w:lineRule="auto"/>
        <w:ind w:left="0" w:firstLine="200"/>
        <w:rPr>
          <w:rFonts w:asciiTheme="minorEastAsia" w:hAnsiTheme="minorEastAsia" w:eastAsiaTheme="minorEastAsia"/>
          <w:b/>
          <w:color w:val="auto"/>
          <w:sz w:val="32"/>
          <w:highlight w:val="none"/>
        </w:rPr>
      </w:pPr>
      <w:bookmarkStart w:id="113" w:name="_bookmark58"/>
      <w:bookmarkEnd w:id="113"/>
      <w:bookmarkStart w:id="114" w:name="_Toc24409_WPSOffice_Level2"/>
      <w:r>
        <w:rPr>
          <w:rFonts w:hint="eastAsia" w:asciiTheme="minorEastAsia" w:hAnsiTheme="minorEastAsia" w:eastAsiaTheme="minorEastAsia"/>
          <w:b/>
          <w:color w:val="auto"/>
          <w:sz w:val="32"/>
          <w:highlight w:val="none"/>
        </w:rPr>
        <w:t>评标</w:t>
      </w:r>
      <w:bookmarkEnd w:id="114"/>
    </w:p>
    <w:p>
      <w:pPr>
        <w:pStyle w:val="5"/>
        <w:numPr>
          <w:ilvl w:val="1"/>
          <w:numId w:val="2"/>
        </w:numPr>
        <w:tabs>
          <w:tab w:val="left" w:pos="867"/>
        </w:tabs>
        <w:spacing w:line="360" w:lineRule="auto"/>
        <w:ind w:left="0" w:firstLine="200"/>
        <w:rPr>
          <w:color w:val="auto"/>
          <w:highlight w:val="none"/>
        </w:rPr>
      </w:pPr>
      <w:bookmarkStart w:id="115" w:name="_bookmark59"/>
      <w:bookmarkEnd w:id="115"/>
      <w:bookmarkStart w:id="116" w:name="_Toc12232"/>
      <w:bookmarkStart w:id="117" w:name="_Toc1950_WPSOffice_Level3"/>
      <w:r>
        <w:rPr>
          <w:color w:val="auto"/>
          <w:highlight w:val="none"/>
        </w:rPr>
        <w:t>评标委员会</w:t>
      </w:r>
      <w:bookmarkEnd w:id="116"/>
      <w:bookmarkEnd w:id="117"/>
    </w:p>
    <w:p>
      <w:pPr>
        <w:pStyle w:val="38"/>
        <w:numPr>
          <w:ilvl w:val="2"/>
          <w:numId w:val="2"/>
        </w:numPr>
        <w:tabs>
          <w:tab w:val="left" w:pos="1186"/>
        </w:tabs>
        <w:spacing w:line="360" w:lineRule="auto"/>
        <w:ind w:left="0" w:firstLine="200"/>
        <w:jc w:val="both"/>
        <w:rPr>
          <w:color w:val="auto"/>
          <w:sz w:val="21"/>
          <w:highlight w:val="none"/>
        </w:rPr>
      </w:pPr>
      <w:r>
        <w:rPr>
          <w:color w:val="auto"/>
          <w:spacing w:val="-7"/>
          <w:sz w:val="21"/>
          <w:highlight w:val="none"/>
        </w:rPr>
        <w:t>评标由招标人依法组建的评标委员会负责。评标委员会由招标人或其委托的招标代理机构熟悉相关业务的代表，以及有关技术、经济等方面的专家组成。评标委员会成员人数以及</w:t>
      </w:r>
      <w:r>
        <w:rPr>
          <w:color w:val="auto"/>
          <w:spacing w:val="-5"/>
          <w:sz w:val="21"/>
          <w:highlight w:val="none"/>
        </w:rPr>
        <w:t>技术、经济等方面专家的确定方式见投标人须知前附表。</w:t>
      </w:r>
    </w:p>
    <w:p>
      <w:pPr>
        <w:pStyle w:val="38"/>
        <w:numPr>
          <w:ilvl w:val="2"/>
          <w:numId w:val="2"/>
        </w:numPr>
        <w:tabs>
          <w:tab w:val="left" w:pos="1186"/>
        </w:tabs>
        <w:spacing w:line="360" w:lineRule="auto"/>
        <w:ind w:left="0" w:firstLine="200"/>
        <w:jc w:val="both"/>
        <w:rPr>
          <w:color w:val="auto"/>
          <w:sz w:val="21"/>
          <w:highlight w:val="none"/>
        </w:rPr>
      </w:pPr>
      <w:r>
        <w:rPr>
          <w:color w:val="auto"/>
          <w:spacing w:val="-3"/>
          <w:sz w:val="21"/>
          <w:highlight w:val="none"/>
        </w:rPr>
        <w:t>评标委员会成员有下列情形之一的，应当回避：</w:t>
      </w:r>
    </w:p>
    <w:p>
      <w:pPr>
        <w:pStyle w:val="38"/>
        <w:numPr>
          <w:ilvl w:val="3"/>
          <w:numId w:val="2"/>
        </w:numPr>
        <w:tabs>
          <w:tab w:val="left" w:pos="1487"/>
        </w:tabs>
        <w:spacing w:line="360" w:lineRule="auto"/>
        <w:ind w:left="0" w:firstLine="200"/>
        <w:rPr>
          <w:color w:val="auto"/>
          <w:sz w:val="21"/>
          <w:highlight w:val="none"/>
        </w:rPr>
      </w:pPr>
      <w:r>
        <w:rPr>
          <w:color w:val="auto"/>
          <w:spacing w:val="-3"/>
          <w:sz w:val="21"/>
          <w:highlight w:val="none"/>
        </w:rPr>
        <w:t>投标人或投标人主要负责人的近亲属；</w:t>
      </w:r>
    </w:p>
    <w:p>
      <w:pPr>
        <w:pStyle w:val="38"/>
        <w:numPr>
          <w:ilvl w:val="3"/>
          <w:numId w:val="2"/>
        </w:numPr>
        <w:tabs>
          <w:tab w:val="left" w:pos="1487"/>
        </w:tabs>
        <w:spacing w:line="360" w:lineRule="auto"/>
        <w:ind w:left="0" w:firstLine="200"/>
        <w:rPr>
          <w:color w:val="auto"/>
          <w:sz w:val="21"/>
          <w:highlight w:val="none"/>
        </w:rPr>
      </w:pPr>
      <w:r>
        <w:rPr>
          <w:color w:val="auto"/>
          <w:spacing w:val="-3"/>
          <w:sz w:val="21"/>
          <w:highlight w:val="none"/>
        </w:rPr>
        <w:t>项目主管部门或者行政监督部门的人员；</w:t>
      </w:r>
    </w:p>
    <w:p>
      <w:pPr>
        <w:pStyle w:val="38"/>
        <w:numPr>
          <w:ilvl w:val="3"/>
          <w:numId w:val="2"/>
        </w:numPr>
        <w:tabs>
          <w:tab w:val="left" w:pos="1487"/>
        </w:tabs>
        <w:spacing w:line="360" w:lineRule="auto"/>
        <w:ind w:left="0" w:firstLine="200"/>
        <w:rPr>
          <w:color w:val="auto"/>
          <w:sz w:val="21"/>
          <w:highlight w:val="none"/>
        </w:rPr>
      </w:pPr>
      <w:r>
        <w:rPr>
          <w:color w:val="auto"/>
          <w:spacing w:val="-3"/>
          <w:sz w:val="21"/>
          <w:highlight w:val="none"/>
        </w:rPr>
        <w:t>与投标人有经济利益关系，可能影响对投标公正评审的；</w:t>
      </w:r>
    </w:p>
    <w:p>
      <w:pPr>
        <w:pStyle w:val="38"/>
        <w:numPr>
          <w:ilvl w:val="3"/>
          <w:numId w:val="2"/>
        </w:numPr>
        <w:tabs>
          <w:tab w:val="left" w:pos="1487"/>
        </w:tabs>
        <w:spacing w:line="360" w:lineRule="auto"/>
        <w:ind w:left="0" w:firstLine="200"/>
        <w:rPr>
          <w:color w:val="auto"/>
          <w:sz w:val="21"/>
          <w:highlight w:val="none"/>
        </w:rPr>
      </w:pPr>
      <w:r>
        <w:rPr>
          <w:color w:val="auto"/>
          <w:spacing w:val="-1"/>
          <w:sz w:val="21"/>
          <w:highlight w:val="none"/>
        </w:rPr>
        <w:t>曾因在招标、评标以及其他与招标投标有关活动中从事违法行为而受过行政处罚</w:t>
      </w:r>
      <w:r>
        <w:rPr>
          <w:color w:val="auto"/>
          <w:spacing w:val="-2"/>
          <w:sz w:val="21"/>
          <w:highlight w:val="none"/>
        </w:rPr>
        <w:t>或刑事处罚的；</w:t>
      </w:r>
    </w:p>
    <w:p>
      <w:pPr>
        <w:pStyle w:val="38"/>
        <w:numPr>
          <w:ilvl w:val="3"/>
          <w:numId w:val="2"/>
        </w:numPr>
        <w:tabs>
          <w:tab w:val="left" w:pos="1487"/>
        </w:tabs>
        <w:spacing w:line="360" w:lineRule="auto"/>
        <w:ind w:left="0" w:firstLine="200"/>
        <w:rPr>
          <w:color w:val="auto"/>
          <w:sz w:val="21"/>
          <w:highlight w:val="none"/>
        </w:rPr>
      </w:pPr>
      <w:r>
        <w:rPr>
          <w:color w:val="auto"/>
          <w:spacing w:val="-3"/>
          <w:sz w:val="21"/>
          <w:highlight w:val="none"/>
        </w:rPr>
        <w:t>与投标人有其他利害关系。</w:t>
      </w:r>
    </w:p>
    <w:p>
      <w:pPr>
        <w:pStyle w:val="38"/>
        <w:numPr>
          <w:ilvl w:val="2"/>
          <w:numId w:val="2"/>
        </w:numPr>
        <w:tabs>
          <w:tab w:val="left" w:pos="1186"/>
        </w:tabs>
        <w:spacing w:line="360" w:lineRule="auto"/>
        <w:ind w:left="0" w:firstLine="200"/>
        <w:jc w:val="both"/>
        <w:rPr>
          <w:color w:val="auto"/>
          <w:sz w:val="21"/>
          <w:highlight w:val="none"/>
        </w:rPr>
      </w:pPr>
      <w:r>
        <w:rPr>
          <w:color w:val="auto"/>
          <w:spacing w:val="-10"/>
          <w:sz w:val="21"/>
          <w:highlight w:val="none"/>
        </w:rPr>
        <w:t>评标过程中，评标委员会成员有回避事由、擅离职守或者因健康等原因不能继续评标</w:t>
      </w:r>
      <w:r>
        <w:rPr>
          <w:color w:val="auto"/>
          <w:spacing w:val="-9"/>
          <w:sz w:val="21"/>
          <w:highlight w:val="none"/>
        </w:rPr>
        <w:t>的，招标人有权更换。被更换的评标委员会成员作出的评审结论无效，由更换后的评标委员会</w:t>
      </w:r>
      <w:r>
        <w:rPr>
          <w:color w:val="auto"/>
          <w:spacing w:val="-5"/>
          <w:sz w:val="21"/>
          <w:highlight w:val="none"/>
        </w:rPr>
        <w:t>成员重新进行评审。</w:t>
      </w:r>
    </w:p>
    <w:p>
      <w:pPr>
        <w:pStyle w:val="5"/>
        <w:numPr>
          <w:ilvl w:val="1"/>
          <w:numId w:val="2"/>
        </w:numPr>
        <w:tabs>
          <w:tab w:val="left" w:pos="867"/>
        </w:tabs>
        <w:spacing w:line="360" w:lineRule="auto"/>
        <w:ind w:left="0" w:firstLine="200"/>
        <w:rPr>
          <w:color w:val="auto"/>
          <w:highlight w:val="none"/>
        </w:rPr>
      </w:pPr>
      <w:bookmarkStart w:id="118" w:name="_bookmark60"/>
      <w:bookmarkEnd w:id="118"/>
      <w:bookmarkStart w:id="119" w:name="_Toc27421_WPSOffice_Level3"/>
      <w:bookmarkStart w:id="120" w:name="_Toc23328"/>
      <w:r>
        <w:rPr>
          <w:color w:val="auto"/>
          <w:highlight w:val="none"/>
        </w:rPr>
        <w:t>评标原则</w:t>
      </w:r>
      <w:bookmarkEnd w:id="119"/>
      <w:bookmarkEnd w:id="120"/>
    </w:p>
    <w:p>
      <w:pPr>
        <w:pStyle w:val="2"/>
        <w:spacing w:line="360" w:lineRule="auto"/>
        <w:ind w:firstLine="200"/>
        <w:rPr>
          <w:color w:val="auto"/>
          <w:highlight w:val="none"/>
        </w:rPr>
      </w:pPr>
      <w:r>
        <w:rPr>
          <w:color w:val="auto"/>
          <w:highlight w:val="none"/>
        </w:rPr>
        <w:t>评标活动遵循公平、公正、科学和择优的原则。</w:t>
      </w:r>
    </w:p>
    <w:p>
      <w:pPr>
        <w:pStyle w:val="5"/>
        <w:numPr>
          <w:ilvl w:val="1"/>
          <w:numId w:val="2"/>
        </w:numPr>
        <w:tabs>
          <w:tab w:val="left" w:pos="867"/>
        </w:tabs>
        <w:spacing w:line="360" w:lineRule="auto"/>
        <w:ind w:left="0" w:firstLine="200"/>
        <w:rPr>
          <w:color w:val="auto"/>
          <w:highlight w:val="none"/>
        </w:rPr>
      </w:pPr>
      <w:bookmarkStart w:id="121" w:name="_bookmark61"/>
      <w:bookmarkEnd w:id="121"/>
      <w:bookmarkStart w:id="122" w:name="_Toc1710"/>
      <w:bookmarkStart w:id="123" w:name="_Toc8825_WPSOffice_Level3"/>
      <w:r>
        <w:rPr>
          <w:color w:val="auto"/>
          <w:highlight w:val="none"/>
        </w:rPr>
        <w:t>评标</w:t>
      </w:r>
      <w:bookmarkEnd w:id="122"/>
      <w:bookmarkEnd w:id="123"/>
    </w:p>
    <w:p>
      <w:pPr>
        <w:pStyle w:val="38"/>
        <w:numPr>
          <w:ilvl w:val="2"/>
          <w:numId w:val="2"/>
        </w:numPr>
        <w:tabs>
          <w:tab w:val="left" w:pos="1136"/>
        </w:tabs>
        <w:spacing w:line="360" w:lineRule="auto"/>
        <w:ind w:left="0" w:firstLine="200"/>
        <w:jc w:val="both"/>
        <w:rPr>
          <w:color w:val="auto"/>
          <w:sz w:val="21"/>
          <w:highlight w:val="none"/>
        </w:rPr>
      </w:pPr>
      <w:r>
        <w:rPr>
          <w:color w:val="auto"/>
          <w:spacing w:val="-3"/>
          <w:sz w:val="21"/>
          <w:highlight w:val="none"/>
        </w:rPr>
        <w:t>评标委员会按照第三章</w:t>
      </w:r>
      <w:r>
        <w:rPr>
          <w:rFonts w:ascii="Times New Roman" w:hAnsi="Times New Roman" w:eastAsia="Times New Roman"/>
          <w:color w:val="auto"/>
          <w:sz w:val="21"/>
          <w:highlight w:val="none"/>
        </w:rPr>
        <w:t>“</w:t>
      </w:r>
      <w:r>
        <w:rPr>
          <w:color w:val="auto"/>
          <w:spacing w:val="-3"/>
          <w:sz w:val="21"/>
          <w:highlight w:val="none"/>
        </w:rPr>
        <w:t>评标办法</w:t>
      </w:r>
      <w:r>
        <w:rPr>
          <w:rFonts w:ascii="Times New Roman" w:hAnsi="Times New Roman" w:eastAsia="Times New Roman"/>
          <w:color w:val="auto"/>
          <w:sz w:val="21"/>
          <w:highlight w:val="none"/>
        </w:rPr>
        <w:t>”</w:t>
      </w:r>
      <w:r>
        <w:rPr>
          <w:color w:val="auto"/>
          <w:spacing w:val="-3"/>
          <w:sz w:val="21"/>
          <w:highlight w:val="none"/>
        </w:rPr>
        <w:t>规定的方法、评审因素、标准和程序对投标文件进行评审。第三章</w:t>
      </w:r>
      <w:r>
        <w:rPr>
          <w:rFonts w:ascii="Times New Roman" w:hAnsi="Times New Roman" w:eastAsia="Times New Roman"/>
          <w:color w:val="auto"/>
          <w:sz w:val="21"/>
          <w:highlight w:val="none"/>
        </w:rPr>
        <w:t>“</w:t>
      </w:r>
      <w:r>
        <w:rPr>
          <w:color w:val="auto"/>
          <w:spacing w:val="-3"/>
          <w:sz w:val="21"/>
          <w:highlight w:val="none"/>
        </w:rPr>
        <w:t>评标办法</w:t>
      </w:r>
      <w:r>
        <w:rPr>
          <w:rFonts w:ascii="Times New Roman" w:hAnsi="Times New Roman" w:eastAsia="Times New Roman"/>
          <w:color w:val="auto"/>
          <w:sz w:val="21"/>
          <w:highlight w:val="none"/>
        </w:rPr>
        <w:t>”</w:t>
      </w:r>
      <w:r>
        <w:rPr>
          <w:color w:val="auto"/>
          <w:spacing w:val="-3"/>
          <w:sz w:val="21"/>
          <w:highlight w:val="none"/>
        </w:rPr>
        <w:t>没有规定的方法、评审因素和标准，不作为评标依据。</w:t>
      </w:r>
    </w:p>
    <w:p>
      <w:pPr>
        <w:pStyle w:val="38"/>
        <w:numPr>
          <w:ilvl w:val="2"/>
          <w:numId w:val="2"/>
        </w:numPr>
        <w:tabs>
          <w:tab w:val="left" w:pos="1134"/>
        </w:tabs>
        <w:spacing w:line="360" w:lineRule="auto"/>
        <w:ind w:left="0" w:firstLine="200"/>
        <w:jc w:val="both"/>
        <w:rPr>
          <w:color w:val="auto"/>
          <w:sz w:val="21"/>
          <w:highlight w:val="none"/>
        </w:rPr>
      </w:pPr>
      <w:r>
        <w:rPr>
          <w:color w:val="auto"/>
          <w:spacing w:val="-6"/>
          <w:sz w:val="21"/>
          <w:highlight w:val="none"/>
        </w:rPr>
        <w:t>评标完成后，评标委员会应当向招标人提交书面评标报告和中标候选人名单。评标委</w:t>
      </w:r>
      <w:r>
        <w:rPr>
          <w:color w:val="auto"/>
          <w:spacing w:val="-4"/>
          <w:sz w:val="21"/>
          <w:highlight w:val="none"/>
        </w:rPr>
        <w:t>员会推荐中标候选人的人数见投标人须知前附表。</w:t>
      </w:r>
    </w:p>
    <w:p>
      <w:pPr>
        <w:pStyle w:val="38"/>
        <w:numPr>
          <w:ilvl w:val="0"/>
          <w:numId w:val="2"/>
        </w:numPr>
        <w:tabs>
          <w:tab w:val="left" w:pos="642"/>
        </w:tabs>
        <w:spacing w:line="360" w:lineRule="auto"/>
        <w:ind w:left="0" w:firstLine="200"/>
        <w:rPr>
          <w:rFonts w:asciiTheme="minorEastAsia" w:hAnsiTheme="minorEastAsia" w:eastAsiaTheme="minorEastAsia"/>
          <w:b/>
          <w:color w:val="auto"/>
          <w:sz w:val="32"/>
          <w:highlight w:val="none"/>
        </w:rPr>
      </w:pPr>
      <w:bookmarkStart w:id="124" w:name="_bookmark62"/>
      <w:bookmarkEnd w:id="124"/>
      <w:bookmarkStart w:id="125" w:name="_Toc2174_WPSOffice_Level2"/>
      <w:r>
        <w:rPr>
          <w:rFonts w:hint="eastAsia" w:asciiTheme="minorEastAsia" w:hAnsiTheme="minorEastAsia" w:eastAsiaTheme="minorEastAsia"/>
          <w:b/>
          <w:color w:val="auto"/>
          <w:sz w:val="32"/>
          <w:highlight w:val="none"/>
        </w:rPr>
        <w:t>合同授予</w:t>
      </w:r>
      <w:bookmarkEnd w:id="125"/>
    </w:p>
    <w:p>
      <w:pPr>
        <w:pStyle w:val="38"/>
        <w:numPr>
          <w:ilvl w:val="1"/>
          <w:numId w:val="2"/>
        </w:numPr>
        <w:tabs>
          <w:tab w:val="left" w:pos="867"/>
        </w:tabs>
        <w:spacing w:line="360" w:lineRule="auto"/>
        <w:ind w:left="0" w:firstLine="200"/>
        <w:rPr>
          <w:color w:val="auto"/>
          <w:sz w:val="28"/>
          <w:highlight w:val="none"/>
        </w:rPr>
      </w:pPr>
      <w:bookmarkStart w:id="126" w:name="_bookmark63"/>
      <w:bookmarkEnd w:id="126"/>
      <w:bookmarkStart w:id="127" w:name="_Toc22090_WPSOffice_Level3"/>
      <w:r>
        <w:rPr>
          <w:color w:val="auto"/>
          <w:spacing w:val="-1"/>
          <w:sz w:val="28"/>
          <w:highlight w:val="none"/>
        </w:rPr>
        <w:t>中标候选人公示</w:t>
      </w:r>
      <w:bookmarkEnd w:id="127"/>
    </w:p>
    <w:p>
      <w:pPr>
        <w:pStyle w:val="2"/>
        <w:spacing w:line="360" w:lineRule="auto"/>
        <w:ind w:firstLine="315" w:firstLineChars="150"/>
        <w:rPr>
          <w:color w:val="auto"/>
          <w:highlight w:val="none"/>
        </w:rPr>
      </w:pPr>
      <w:r>
        <w:rPr>
          <w:color w:val="auto"/>
          <w:highlight w:val="none"/>
        </w:rPr>
        <w:t xml:space="preserve">招标人在收到评标报告之日起 </w:t>
      </w:r>
      <w:r>
        <w:rPr>
          <w:rFonts w:ascii="Times New Roman" w:eastAsia="Times New Roman"/>
          <w:color w:val="auto"/>
          <w:highlight w:val="none"/>
        </w:rPr>
        <w:t xml:space="preserve">3 </w:t>
      </w:r>
      <w:r>
        <w:rPr>
          <w:color w:val="auto"/>
          <w:highlight w:val="none"/>
        </w:rPr>
        <w:t xml:space="preserve">日内，按照投标人须知前附表规定的公示媒介和期限公示中标候选人，公示期不得少于 </w:t>
      </w:r>
      <w:r>
        <w:rPr>
          <w:rFonts w:ascii="Times New Roman" w:eastAsia="Times New Roman"/>
          <w:color w:val="auto"/>
          <w:highlight w:val="none"/>
        </w:rPr>
        <w:t xml:space="preserve">3 </w:t>
      </w:r>
      <w:r>
        <w:rPr>
          <w:color w:val="auto"/>
          <w:highlight w:val="none"/>
        </w:rPr>
        <w:t>天。</w:t>
      </w:r>
    </w:p>
    <w:p>
      <w:pPr>
        <w:pStyle w:val="38"/>
        <w:numPr>
          <w:ilvl w:val="1"/>
          <w:numId w:val="2"/>
        </w:numPr>
        <w:tabs>
          <w:tab w:val="left" w:pos="867"/>
        </w:tabs>
        <w:spacing w:line="360" w:lineRule="auto"/>
        <w:ind w:left="0" w:firstLine="200"/>
        <w:rPr>
          <w:color w:val="auto"/>
          <w:sz w:val="28"/>
          <w:highlight w:val="none"/>
        </w:rPr>
      </w:pPr>
      <w:bookmarkStart w:id="128" w:name="_bookmark64"/>
      <w:bookmarkEnd w:id="128"/>
      <w:bookmarkStart w:id="129" w:name="_Toc28378_WPSOffice_Level3"/>
      <w:r>
        <w:rPr>
          <w:color w:val="auto"/>
          <w:spacing w:val="-1"/>
          <w:sz w:val="28"/>
          <w:highlight w:val="none"/>
        </w:rPr>
        <w:t>评标结果异议</w:t>
      </w:r>
      <w:bookmarkEnd w:id="129"/>
    </w:p>
    <w:p>
      <w:pPr>
        <w:pStyle w:val="2"/>
        <w:spacing w:line="360" w:lineRule="auto"/>
        <w:ind w:firstLine="420" w:firstLineChars="200"/>
        <w:jc w:val="both"/>
        <w:rPr>
          <w:color w:val="auto"/>
          <w:highlight w:val="none"/>
        </w:rPr>
      </w:pPr>
      <w:r>
        <w:rPr>
          <w:color w:val="auto"/>
          <w:highlight w:val="none"/>
        </w:rPr>
        <w:t xml:space="preserve">投标人或者其他利害关系人对评标结果有异议的，应当在中标候选人公示期间提出。招标人将在收到异议之日起 </w:t>
      </w:r>
      <w:r>
        <w:rPr>
          <w:rFonts w:ascii="Times New Roman" w:eastAsia="Times New Roman"/>
          <w:color w:val="auto"/>
          <w:highlight w:val="none"/>
        </w:rPr>
        <w:t xml:space="preserve">3 </w:t>
      </w:r>
      <w:r>
        <w:rPr>
          <w:color w:val="auto"/>
          <w:highlight w:val="none"/>
        </w:rPr>
        <w:t>日内作出答复；作出答复前，将暂停招标投标活动。</w:t>
      </w:r>
    </w:p>
    <w:p>
      <w:pPr>
        <w:pStyle w:val="5"/>
        <w:numPr>
          <w:ilvl w:val="1"/>
          <w:numId w:val="2"/>
        </w:numPr>
        <w:tabs>
          <w:tab w:val="left" w:pos="867"/>
        </w:tabs>
        <w:spacing w:line="360" w:lineRule="auto"/>
        <w:ind w:left="0" w:firstLine="200"/>
        <w:rPr>
          <w:color w:val="auto"/>
          <w:highlight w:val="none"/>
        </w:rPr>
      </w:pPr>
      <w:bookmarkStart w:id="130" w:name="_bookmark65"/>
      <w:bookmarkEnd w:id="130"/>
      <w:bookmarkStart w:id="131" w:name="_bookmark66"/>
      <w:bookmarkEnd w:id="131"/>
      <w:bookmarkStart w:id="132" w:name="_Toc17326"/>
      <w:bookmarkStart w:id="133" w:name="_Toc30422_WPSOffice_Level3"/>
      <w:r>
        <w:rPr>
          <w:color w:val="auto"/>
          <w:highlight w:val="none"/>
        </w:rPr>
        <w:t>定标</w:t>
      </w:r>
      <w:bookmarkEnd w:id="132"/>
      <w:bookmarkEnd w:id="133"/>
    </w:p>
    <w:p>
      <w:pPr>
        <w:pStyle w:val="2"/>
        <w:spacing w:line="360" w:lineRule="auto"/>
        <w:ind w:firstLine="200"/>
        <w:rPr>
          <w:color w:val="auto"/>
          <w:highlight w:val="none"/>
        </w:rPr>
      </w:pPr>
      <w:r>
        <w:rPr>
          <w:color w:val="auto"/>
          <w:highlight w:val="none"/>
        </w:rPr>
        <w:t>按照投标人须知前附表的规定，招标人或招标人授权的评标委员会依法确定中标人。</w:t>
      </w:r>
    </w:p>
    <w:p>
      <w:pPr>
        <w:pStyle w:val="5"/>
        <w:numPr>
          <w:ilvl w:val="1"/>
          <w:numId w:val="2"/>
        </w:numPr>
        <w:tabs>
          <w:tab w:val="left" w:pos="867"/>
        </w:tabs>
        <w:spacing w:line="360" w:lineRule="auto"/>
        <w:ind w:left="0" w:firstLine="200"/>
        <w:rPr>
          <w:color w:val="auto"/>
          <w:highlight w:val="none"/>
        </w:rPr>
      </w:pPr>
      <w:bookmarkStart w:id="134" w:name="_bookmark67"/>
      <w:bookmarkEnd w:id="134"/>
      <w:bookmarkStart w:id="135" w:name="_Toc22956_WPSOffice_Level3"/>
      <w:bookmarkStart w:id="136" w:name="_Toc13410"/>
      <w:r>
        <w:rPr>
          <w:color w:val="auto"/>
          <w:highlight w:val="none"/>
        </w:rPr>
        <w:t>中标通知</w:t>
      </w:r>
      <w:bookmarkEnd w:id="135"/>
      <w:bookmarkEnd w:id="136"/>
    </w:p>
    <w:p>
      <w:pPr>
        <w:pStyle w:val="2"/>
        <w:spacing w:line="360" w:lineRule="auto"/>
        <w:ind w:firstLine="200"/>
        <w:jc w:val="both"/>
        <w:rPr>
          <w:color w:val="auto"/>
          <w:highlight w:val="none"/>
        </w:rPr>
      </w:pPr>
      <w:r>
        <w:rPr>
          <w:color w:val="auto"/>
          <w:highlight w:val="none"/>
        </w:rPr>
        <w:t xml:space="preserve">在本章第 </w:t>
      </w:r>
      <w:r>
        <w:rPr>
          <w:rFonts w:ascii="Times New Roman" w:eastAsia="Times New Roman"/>
          <w:color w:val="auto"/>
          <w:highlight w:val="none"/>
        </w:rPr>
        <w:t xml:space="preserve">3.3 </w:t>
      </w:r>
      <w:r>
        <w:rPr>
          <w:color w:val="auto"/>
          <w:highlight w:val="none"/>
        </w:rPr>
        <w:t>款规定的投标有效期内，招标人以书面形式向中标人发出中标通知书</w:t>
      </w:r>
      <w:r>
        <w:rPr>
          <w:rFonts w:hint="eastAsia"/>
          <w:color w:val="auto"/>
          <w:highlight w:val="none"/>
        </w:rPr>
        <w:t>，</w:t>
      </w:r>
      <w:r>
        <w:rPr>
          <w:rFonts w:hint="eastAsia"/>
          <w:color w:val="auto"/>
          <w:highlight w:val="none"/>
          <w:lang w:val="en-US"/>
        </w:rPr>
        <w:t>中标结果公司在指定网站发布</w:t>
      </w:r>
      <w:r>
        <w:rPr>
          <w:rFonts w:hint="eastAsia"/>
          <w:color w:val="auto"/>
          <w:highlight w:val="none"/>
        </w:rPr>
        <w:t>。</w:t>
      </w:r>
    </w:p>
    <w:p>
      <w:pPr>
        <w:pStyle w:val="5"/>
        <w:numPr>
          <w:ilvl w:val="1"/>
          <w:numId w:val="2"/>
        </w:numPr>
        <w:tabs>
          <w:tab w:val="left" w:pos="867"/>
        </w:tabs>
        <w:spacing w:line="360" w:lineRule="auto"/>
        <w:ind w:left="0" w:firstLine="200"/>
        <w:rPr>
          <w:color w:val="auto"/>
          <w:highlight w:val="none"/>
        </w:rPr>
      </w:pPr>
      <w:bookmarkStart w:id="137" w:name="_bookmark68"/>
      <w:bookmarkEnd w:id="137"/>
      <w:bookmarkStart w:id="138" w:name="_Toc18569_WPSOffice_Level3"/>
      <w:bookmarkStart w:id="139" w:name="_Toc30495"/>
      <w:r>
        <w:rPr>
          <w:color w:val="auto"/>
          <w:spacing w:val="-2"/>
          <w:highlight w:val="none"/>
        </w:rPr>
        <w:t>技术成果经济补偿</w:t>
      </w:r>
      <w:bookmarkEnd w:id="138"/>
      <w:bookmarkEnd w:id="139"/>
    </w:p>
    <w:p>
      <w:pPr>
        <w:pStyle w:val="2"/>
        <w:spacing w:line="360" w:lineRule="auto"/>
        <w:ind w:firstLine="200"/>
        <w:jc w:val="both"/>
        <w:rPr>
          <w:color w:val="auto"/>
          <w:highlight w:val="none"/>
        </w:rPr>
      </w:pPr>
      <w:r>
        <w:rPr>
          <w:rFonts w:hint="eastAsia"/>
          <w:color w:val="auto"/>
          <w:highlight w:val="none"/>
        </w:rPr>
        <w:t>无补偿。</w:t>
      </w:r>
    </w:p>
    <w:p>
      <w:pPr>
        <w:pStyle w:val="5"/>
        <w:numPr>
          <w:ilvl w:val="1"/>
          <w:numId w:val="2"/>
        </w:numPr>
        <w:tabs>
          <w:tab w:val="left" w:pos="867"/>
        </w:tabs>
        <w:spacing w:line="360" w:lineRule="auto"/>
        <w:ind w:left="0" w:firstLine="200"/>
        <w:rPr>
          <w:color w:val="auto"/>
          <w:highlight w:val="none"/>
        </w:rPr>
      </w:pPr>
      <w:bookmarkStart w:id="140" w:name="_bookmark69"/>
      <w:bookmarkEnd w:id="140"/>
      <w:bookmarkStart w:id="141" w:name="_Toc7104_WPSOffice_Level3"/>
      <w:bookmarkStart w:id="142" w:name="_Toc3211"/>
      <w:r>
        <w:rPr>
          <w:color w:val="auto"/>
          <w:highlight w:val="none"/>
        </w:rPr>
        <w:t>履约保证金</w:t>
      </w:r>
      <w:bookmarkEnd w:id="141"/>
      <w:bookmarkEnd w:id="142"/>
    </w:p>
    <w:p>
      <w:pPr>
        <w:pStyle w:val="38"/>
        <w:numPr>
          <w:ilvl w:val="2"/>
          <w:numId w:val="2"/>
        </w:numPr>
        <w:tabs>
          <w:tab w:val="left" w:pos="1186"/>
        </w:tabs>
        <w:spacing w:line="360" w:lineRule="auto"/>
        <w:ind w:left="0" w:firstLine="200"/>
        <w:rPr>
          <w:color w:val="auto"/>
          <w:sz w:val="21"/>
          <w:highlight w:val="none"/>
        </w:rPr>
      </w:pPr>
      <w:r>
        <w:rPr>
          <w:color w:val="auto"/>
          <w:spacing w:val="-14"/>
          <w:sz w:val="21"/>
          <w:highlight w:val="none"/>
        </w:rPr>
        <w:t>中标人应按投标人须知前附表规定的形式、金额和招标文件第四章</w:t>
      </w:r>
      <w:r>
        <w:rPr>
          <w:rFonts w:ascii="Times New Roman" w:hAnsi="Times New Roman" w:eastAsia="Times New Roman"/>
          <w:color w:val="auto"/>
          <w:spacing w:val="-3"/>
          <w:sz w:val="21"/>
          <w:highlight w:val="none"/>
        </w:rPr>
        <w:t>“</w:t>
      </w:r>
      <w:r>
        <w:rPr>
          <w:color w:val="auto"/>
          <w:sz w:val="21"/>
          <w:highlight w:val="none"/>
        </w:rPr>
        <w:t>合同条款及格式</w:t>
      </w:r>
      <w:r>
        <w:rPr>
          <w:rFonts w:ascii="Times New Roman" w:hAnsi="Times New Roman" w:eastAsia="Times New Roman"/>
          <w:color w:val="auto"/>
          <w:sz w:val="21"/>
          <w:highlight w:val="none"/>
        </w:rPr>
        <w:t>”</w:t>
      </w:r>
      <w:r>
        <w:rPr>
          <w:color w:val="auto"/>
          <w:sz w:val="21"/>
          <w:highlight w:val="none"/>
        </w:rPr>
        <w:t>规定的或者事先经过招标人书面认可的履约保证金格式向招标人提交履约保证</w:t>
      </w:r>
      <w:r>
        <w:rPr>
          <w:color w:val="auto"/>
          <w:highlight w:val="none"/>
        </w:rPr>
        <w:t>金。</w:t>
      </w:r>
      <w:r>
        <w:rPr>
          <w:color w:val="auto"/>
          <w:sz w:val="21"/>
          <w:highlight w:val="none"/>
        </w:rPr>
        <w:t>除投标人须知前附表另有规定外，履约保证金为中标合同金额的</w:t>
      </w:r>
      <w:r>
        <w:rPr>
          <w:rFonts w:hint="eastAsia"/>
          <w:color w:val="auto"/>
          <w:sz w:val="21"/>
          <w:highlight w:val="none"/>
        </w:rPr>
        <w:t>5</w:t>
      </w:r>
      <w:r>
        <w:rPr>
          <w:color w:val="auto"/>
          <w:sz w:val="21"/>
          <w:highlight w:val="none"/>
        </w:rPr>
        <w:t>%。</w:t>
      </w:r>
    </w:p>
    <w:p>
      <w:pPr>
        <w:pStyle w:val="38"/>
        <w:numPr>
          <w:ilvl w:val="2"/>
          <w:numId w:val="2"/>
        </w:numPr>
        <w:tabs>
          <w:tab w:val="left" w:pos="1186"/>
        </w:tabs>
        <w:spacing w:line="360" w:lineRule="auto"/>
        <w:ind w:left="0" w:firstLine="200"/>
        <w:jc w:val="both"/>
        <w:rPr>
          <w:color w:val="auto"/>
          <w:sz w:val="21"/>
          <w:highlight w:val="none"/>
        </w:rPr>
      </w:pPr>
      <w:r>
        <w:rPr>
          <w:color w:val="auto"/>
          <w:spacing w:val="-5"/>
          <w:sz w:val="21"/>
          <w:highlight w:val="none"/>
        </w:rPr>
        <w:t xml:space="preserve">中标人不能按本章第 </w:t>
      </w:r>
      <w:r>
        <w:rPr>
          <w:rFonts w:ascii="Times New Roman" w:eastAsia="Times New Roman"/>
          <w:color w:val="auto"/>
          <w:sz w:val="21"/>
          <w:highlight w:val="none"/>
        </w:rPr>
        <w:t>7.7.1</w:t>
      </w:r>
      <w:r>
        <w:rPr>
          <w:rFonts w:ascii="Times New Roman" w:eastAsia="Times New Roman"/>
          <w:color w:val="auto"/>
          <w:spacing w:val="32"/>
          <w:sz w:val="21"/>
          <w:highlight w:val="none"/>
        </w:rPr>
        <w:t xml:space="preserve"> </w:t>
      </w:r>
      <w:r>
        <w:rPr>
          <w:color w:val="auto"/>
          <w:spacing w:val="-3"/>
          <w:sz w:val="21"/>
          <w:highlight w:val="none"/>
        </w:rPr>
        <w:t>项要求提交履约保证金的，视为放弃中标，其投标保证金不予退还，给招标人造成的损失超过投标保证金数额的，中标人还应当对超过部分予以赔偿。</w:t>
      </w:r>
    </w:p>
    <w:p>
      <w:pPr>
        <w:pStyle w:val="5"/>
        <w:numPr>
          <w:ilvl w:val="1"/>
          <w:numId w:val="2"/>
        </w:numPr>
        <w:tabs>
          <w:tab w:val="left" w:pos="867"/>
        </w:tabs>
        <w:spacing w:line="360" w:lineRule="auto"/>
        <w:ind w:left="0" w:firstLine="200"/>
        <w:rPr>
          <w:color w:val="auto"/>
          <w:highlight w:val="none"/>
        </w:rPr>
      </w:pPr>
      <w:bookmarkStart w:id="143" w:name="_bookmark70"/>
      <w:bookmarkEnd w:id="143"/>
      <w:bookmarkStart w:id="144" w:name="_Toc20707_WPSOffice_Level3"/>
      <w:bookmarkStart w:id="145" w:name="_Toc7884"/>
      <w:r>
        <w:rPr>
          <w:color w:val="auto"/>
          <w:highlight w:val="none"/>
        </w:rPr>
        <w:t>签订合同</w:t>
      </w:r>
      <w:bookmarkEnd w:id="144"/>
      <w:bookmarkEnd w:id="145"/>
    </w:p>
    <w:p>
      <w:pPr>
        <w:pStyle w:val="38"/>
        <w:numPr>
          <w:ilvl w:val="2"/>
          <w:numId w:val="2"/>
        </w:numPr>
        <w:tabs>
          <w:tab w:val="left" w:pos="1186"/>
        </w:tabs>
        <w:spacing w:line="360" w:lineRule="auto"/>
        <w:ind w:left="0" w:firstLine="200"/>
        <w:jc w:val="both"/>
        <w:rPr>
          <w:color w:val="auto"/>
          <w:sz w:val="21"/>
          <w:highlight w:val="none"/>
        </w:rPr>
      </w:pPr>
      <w:r>
        <w:rPr>
          <w:color w:val="auto"/>
          <w:spacing w:val="-4"/>
          <w:sz w:val="21"/>
          <w:highlight w:val="none"/>
        </w:rPr>
        <w:t xml:space="preserve">招标人和中标人应当在中标通知书发出之日起 </w:t>
      </w:r>
      <w:r>
        <w:rPr>
          <w:rFonts w:ascii="Times New Roman" w:eastAsia="Times New Roman"/>
          <w:color w:val="auto"/>
          <w:sz w:val="21"/>
          <w:highlight w:val="none"/>
        </w:rPr>
        <w:t>30</w:t>
      </w:r>
      <w:r>
        <w:rPr>
          <w:rFonts w:ascii="Times New Roman" w:eastAsia="Times New Roman"/>
          <w:color w:val="auto"/>
          <w:spacing w:val="34"/>
          <w:sz w:val="21"/>
          <w:highlight w:val="none"/>
        </w:rPr>
        <w:t xml:space="preserve"> </w:t>
      </w:r>
      <w:r>
        <w:rPr>
          <w:color w:val="auto"/>
          <w:spacing w:val="-3"/>
          <w:sz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8"/>
        <w:numPr>
          <w:ilvl w:val="2"/>
          <w:numId w:val="2"/>
        </w:numPr>
        <w:tabs>
          <w:tab w:val="left" w:pos="1186"/>
        </w:tabs>
        <w:spacing w:line="360" w:lineRule="auto"/>
        <w:ind w:left="0" w:firstLine="200"/>
        <w:jc w:val="both"/>
        <w:rPr>
          <w:color w:val="auto"/>
          <w:sz w:val="21"/>
          <w:highlight w:val="none"/>
        </w:rPr>
      </w:pPr>
      <w:r>
        <w:rPr>
          <w:color w:val="auto"/>
          <w:spacing w:val="-10"/>
          <w:sz w:val="21"/>
          <w:highlight w:val="none"/>
        </w:rPr>
        <w:t>发出中标通知书后，招标人无正当理由拒签合同，或者在签订合同时向中标人提出附</w:t>
      </w:r>
      <w:r>
        <w:rPr>
          <w:color w:val="auto"/>
          <w:spacing w:val="-5"/>
          <w:sz w:val="21"/>
          <w:highlight w:val="none"/>
        </w:rPr>
        <w:t>加条件的，招标人向中标人退还投标保证金；给中标人造成损失的，还应当赔偿损失。</w:t>
      </w:r>
    </w:p>
    <w:p>
      <w:pPr>
        <w:pStyle w:val="38"/>
        <w:numPr>
          <w:ilvl w:val="0"/>
          <w:numId w:val="2"/>
        </w:numPr>
        <w:tabs>
          <w:tab w:val="left" w:pos="483"/>
        </w:tabs>
        <w:spacing w:line="360" w:lineRule="auto"/>
        <w:ind w:left="0" w:firstLine="200"/>
        <w:rPr>
          <w:rFonts w:asciiTheme="minorEastAsia" w:hAnsiTheme="minorEastAsia" w:eastAsiaTheme="minorEastAsia"/>
          <w:b/>
          <w:color w:val="auto"/>
          <w:sz w:val="32"/>
          <w:highlight w:val="none"/>
        </w:rPr>
      </w:pPr>
      <w:bookmarkStart w:id="146" w:name="_bookmark71"/>
      <w:bookmarkEnd w:id="146"/>
      <w:bookmarkStart w:id="147" w:name="_Toc27414_WPSOffice_Level2"/>
      <w:r>
        <w:rPr>
          <w:rFonts w:hint="eastAsia" w:asciiTheme="minorEastAsia" w:hAnsiTheme="minorEastAsia" w:eastAsiaTheme="minorEastAsia"/>
          <w:b/>
          <w:color w:val="auto"/>
          <w:sz w:val="32"/>
          <w:highlight w:val="none"/>
        </w:rPr>
        <w:t>纪律和监督</w:t>
      </w:r>
      <w:bookmarkEnd w:id="147"/>
    </w:p>
    <w:p>
      <w:pPr>
        <w:pStyle w:val="38"/>
        <w:numPr>
          <w:ilvl w:val="1"/>
          <w:numId w:val="2"/>
        </w:numPr>
        <w:tabs>
          <w:tab w:val="left" w:pos="867"/>
        </w:tabs>
        <w:spacing w:line="360" w:lineRule="auto"/>
        <w:ind w:left="0" w:firstLine="200"/>
        <w:rPr>
          <w:color w:val="auto"/>
          <w:sz w:val="28"/>
          <w:highlight w:val="none"/>
        </w:rPr>
      </w:pPr>
      <w:bookmarkStart w:id="148" w:name="_bookmark72"/>
      <w:bookmarkEnd w:id="148"/>
      <w:bookmarkStart w:id="149" w:name="_Toc14997_WPSOffice_Level3"/>
      <w:r>
        <w:rPr>
          <w:color w:val="auto"/>
          <w:spacing w:val="-2"/>
          <w:sz w:val="28"/>
          <w:highlight w:val="none"/>
        </w:rPr>
        <w:t>对招标人的纪律要求</w:t>
      </w:r>
      <w:bookmarkEnd w:id="149"/>
    </w:p>
    <w:p>
      <w:pPr>
        <w:pStyle w:val="2"/>
        <w:spacing w:line="360" w:lineRule="auto"/>
        <w:ind w:firstLine="200"/>
        <w:rPr>
          <w:color w:val="auto"/>
          <w:highlight w:val="none"/>
        </w:rPr>
      </w:pPr>
      <w:r>
        <w:rPr>
          <w:color w:val="auto"/>
          <w:spacing w:val="-6"/>
          <w:highlight w:val="none"/>
        </w:rPr>
        <w:t>招标人不得泄露招标投标活动中应当保密的情况和资料，不得与投标人串通损害国家利益、</w:t>
      </w:r>
      <w:r>
        <w:rPr>
          <w:color w:val="auto"/>
          <w:spacing w:val="-4"/>
          <w:highlight w:val="none"/>
        </w:rPr>
        <w:t>社会公共利益或者他人合法权益。</w:t>
      </w:r>
    </w:p>
    <w:p>
      <w:pPr>
        <w:pStyle w:val="38"/>
        <w:numPr>
          <w:ilvl w:val="1"/>
          <w:numId w:val="2"/>
        </w:numPr>
        <w:tabs>
          <w:tab w:val="left" w:pos="867"/>
        </w:tabs>
        <w:spacing w:line="360" w:lineRule="auto"/>
        <w:ind w:left="0" w:firstLine="200"/>
        <w:rPr>
          <w:color w:val="auto"/>
          <w:sz w:val="28"/>
          <w:highlight w:val="none"/>
        </w:rPr>
      </w:pPr>
      <w:bookmarkStart w:id="150" w:name="_bookmark73"/>
      <w:bookmarkEnd w:id="150"/>
      <w:bookmarkStart w:id="151" w:name="_Toc25051_WPSOffice_Level3"/>
      <w:r>
        <w:rPr>
          <w:color w:val="auto"/>
          <w:spacing w:val="-2"/>
          <w:sz w:val="28"/>
          <w:highlight w:val="none"/>
        </w:rPr>
        <w:t>对投标人的纪律要求</w:t>
      </w:r>
      <w:bookmarkEnd w:id="151"/>
    </w:p>
    <w:p>
      <w:pPr>
        <w:pStyle w:val="2"/>
        <w:spacing w:line="360" w:lineRule="auto"/>
        <w:ind w:firstLine="200"/>
        <w:jc w:val="both"/>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8"/>
        <w:numPr>
          <w:ilvl w:val="1"/>
          <w:numId w:val="2"/>
        </w:numPr>
        <w:tabs>
          <w:tab w:val="left" w:pos="867"/>
        </w:tabs>
        <w:spacing w:line="360" w:lineRule="auto"/>
        <w:ind w:left="0" w:firstLine="200"/>
        <w:rPr>
          <w:color w:val="auto"/>
          <w:sz w:val="28"/>
          <w:highlight w:val="none"/>
        </w:rPr>
      </w:pPr>
      <w:bookmarkStart w:id="152" w:name="_bookmark74"/>
      <w:bookmarkEnd w:id="152"/>
      <w:bookmarkStart w:id="153" w:name="_Toc32744_WPSOffice_Level3"/>
      <w:r>
        <w:rPr>
          <w:color w:val="auto"/>
          <w:spacing w:val="-3"/>
          <w:sz w:val="28"/>
          <w:highlight w:val="none"/>
        </w:rPr>
        <w:t>对评标委员会成员的纪律要求</w:t>
      </w:r>
      <w:bookmarkEnd w:id="153"/>
    </w:p>
    <w:p>
      <w:pPr>
        <w:pStyle w:val="2"/>
        <w:spacing w:line="360" w:lineRule="auto"/>
        <w:ind w:firstLine="200"/>
        <w:jc w:val="both"/>
        <w:rPr>
          <w:color w:val="auto"/>
          <w:highlight w:val="none"/>
        </w:rPr>
      </w:pPr>
      <w:r>
        <w:rPr>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hAnsi="Times New Roman" w:eastAsia="Times New Roman"/>
          <w:color w:val="auto"/>
          <w:highlight w:val="none"/>
        </w:rPr>
        <w:t>“</w:t>
      </w:r>
      <w:r>
        <w:rPr>
          <w:color w:val="auto"/>
          <w:highlight w:val="none"/>
        </w:rPr>
        <w:t>评标办法</w:t>
      </w:r>
      <w:r>
        <w:rPr>
          <w:rFonts w:ascii="Times New Roman" w:hAnsi="Times New Roman" w:eastAsia="Times New Roman"/>
          <w:color w:val="auto"/>
          <w:highlight w:val="none"/>
        </w:rPr>
        <w:t>”</w:t>
      </w:r>
      <w:r>
        <w:rPr>
          <w:color w:val="auto"/>
          <w:highlight w:val="none"/>
        </w:rPr>
        <w:t>没有规定的评审因素和标准进行评标</w:t>
      </w:r>
      <w:r>
        <w:rPr>
          <w:rFonts w:hint="eastAsia"/>
          <w:color w:val="auto"/>
          <w:highlight w:val="none"/>
        </w:rPr>
        <w:t>。</w:t>
      </w:r>
      <w:bookmarkStart w:id="154" w:name="_bookmark75"/>
      <w:bookmarkEnd w:id="154"/>
      <w:bookmarkStart w:id="155" w:name="_Toc26455_WPSOffice_Level3"/>
    </w:p>
    <w:p>
      <w:pPr>
        <w:pStyle w:val="38"/>
        <w:numPr>
          <w:ilvl w:val="1"/>
          <w:numId w:val="2"/>
        </w:numPr>
        <w:tabs>
          <w:tab w:val="left" w:pos="867"/>
        </w:tabs>
        <w:spacing w:line="360" w:lineRule="auto"/>
        <w:ind w:left="0" w:firstLine="200"/>
        <w:rPr>
          <w:color w:val="auto"/>
          <w:spacing w:val="-3"/>
          <w:sz w:val="28"/>
          <w:highlight w:val="none"/>
        </w:rPr>
      </w:pPr>
      <w:r>
        <w:rPr>
          <w:color w:val="auto"/>
          <w:spacing w:val="-3"/>
          <w:sz w:val="28"/>
          <w:highlight w:val="none"/>
        </w:rPr>
        <w:t>对与评标活动有关的工作人员的纪律要求</w:t>
      </w:r>
      <w:bookmarkEnd w:id="155"/>
    </w:p>
    <w:p>
      <w:pPr>
        <w:pStyle w:val="2"/>
        <w:spacing w:line="360" w:lineRule="auto"/>
        <w:ind w:firstLine="200"/>
        <w:jc w:val="both"/>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numPr>
          <w:ilvl w:val="1"/>
          <w:numId w:val="2"/>
        </w:numPr>
        <w:tabs>
          <w:tab w:val="left" w:pos="867"/>
        </w:tabs>
        <w:spacing w:line="360" w:lineRule="auto"/>
        <w:ind w:left="0" w:firstLine="200"/>
        <w:rPr>
          <w:color w:val="auto"/>
          <w:highlight w:val="none"/>
        </w:rPr>
      </w:pPr>
      <w:bookmarkStart w:id="156" w:name="_bookmark76"/>
      <w:bookmarkEnd w:id="156"/>
      <w:bookmarkStart w:id="157" w:name="_Toc28206"/>
      <w:bookmarkStart w:id="158" w:name="_Toc13492_WPSOffice_Level3"/>
      <w:r>
        <w:rPr>
          <w:color w:val="auto"/>
          <w:highlight w:val="none"/>
        </w:rPr>
        <w:t>投诉</w:t>
      </w:r>
      <w:bookmarkEnd w:id="157"/>
      <w:bookmarkEnd w:id="158"/>
    </w:p>
    <w:p>
      <w:pPr>
        <w:pStyle w:val="38"/>
        <w:numPr>
          <w:ilvl w:val="2"/>
          <w:numId w:val="2"/>
        </w:numPr>
        <w:tabs>
          <w:tab w:val="left" w:pos="1186"/>
        </w:tabs>
        <w:spacing w:line="360" w:lineRule="auto"/>
        <w:ind w:left="0" w:firstLine="200"/>
        <w:jc w:val="both"/>
        <w:rPr>
          <w:color w:val="auto"/>
          <w:sz w:val="21"/>
          <w:highlight w:val="none"/>
        </w:rPr>
      </w:pPr>
      <w:r>
        <w:rPr>
          <w:color w:val="auto"/>
          <w:spacing w:val="-7"/>
          <w:sz w:val="21"/>
          <w:highlight w:val="none"/>
        </w:rPr>
        <w:t>投标人或者其他利害关系人认为招标投标活动不符合法律、行政法规规定的，可以自</w:t>
      </w:r>
      <w:r>
        <w:rPr>
          <w:color w:val="auto"/>
          <w:spacing w:val="-8"/>
          <w:sz w:val="21"/>
          <w:highlight w:val="none"/>
        </w:rPr>
        <w:t xml:space="preserve">知道或者应当知道之日起 </w:t>
      </w:r>
      <w:r>
        <w:rPr>
          <w:rFonts w:ascii="Times New Roman" w:eastAsia="Times New Roman"/>
          <w:color w:val="auto"/>
          <w:sz w:val="21"/>
          <w:highlight w:val="none"/>
        </w:rPr>
        <w:t>10</w:t>
      </w:r>
      <w:r>
        <w:rPr>
          <w:rFonts w:ascii="Times New Roman" w:eastAsia="Times New Roman"/>
          <w:color w:val="auto"/>
          <w:spacing w:val="22"/>
          <w:sz w:val="21"/>
          <w:highlight w:val="none"/>
        </w:rPr>
        <w:t xml:space="preserve"> </w:t>
      </w:r>
      <w:r>
        <w:rPr>
          <w:color w:val="auto"/>
          <w:spacing w:val="-9"/>
          <w:sz w:val="21"/>
          <w:highlight w:val="none"/>
        </w:rPr>
        <w:t>日内向有关行政监督部门投诉。投诉应当有明确的请求和必要的证</w:t>
      </w:r>
      <w:r>
        <w:rPr>
          <w:color w:val="auto"/>
          <w:spacing w:val="-6"/>
          <w:sz w:val="21"/>
          <w:highlight w:val="none"/>
        </w:rPr>
        <w:t>明材料。</w:t>
      </w:r>
    </w:p>
    <w:p>
      <w:pPr>
        <w:pStyle w:val="38"/>
        <w:numPr>
          <w:ilvl w:val="2"/>
          <w:numId w:val="2"/>
        </w:numPr>
        <w:tabs>
          <w:tab w:val="left" w:pos="1186"/>
        </w:tabs>
        <w:spacing w:line="360" w:lineRule="auto"/>
        <w:ind w:left="0" w:firstLine="200"/>
        <w:jc w:val="both"/>
        <w:rPr>
          <w:color w:val="auto"/>
          <w:sz w:val="21"/>
          <w:highlight w:val="none"/>
        </w:rPr>
      </w:pPr>
      <w:r>
        <w:rPr>
          <w:color w:val="auto"/>
          <w:spacing w:val="-8"/>
          <w:sz w:val="21"/>
          <w:highlight w:val="none"/>
        </w:rPr>
        <w:t>投标人或者其他利害关系人对招标文件、开标和评标结果提出投诉的，应当按照投标</w:t>
      </w:r>
      <w:r>
        <w:rPr>
          <w:color w:val="auto"/>
          <w:spacing w:val="-17"/>
          <w:sz w:val="21"/>
          <w:highlight w:val="none"/>
        </w:rPr>
        <w:t xml:space="preserve">人须知第 </w:t>
      </w:r>
      <w:r>
        <w:rPr>
          <w:rFonts w:ascii="Times New Roman" w:eastAsia="Times New Roman"/>
          <w:color w:val="auto"/>
          <w:sz w:val="21"/>
          <w:highlight w:val="none"/>
        </w:rPr>
        <w:t>2.4</w:t>
      </w:r>
      <w:r>
        <w:rPr>
          <w:rFonts w:ascii="Times New Roman" w:eastAsia="Times New Roman"/>
          <w:color w:val="auto"/>
          <w:spacing w:val="-6"/>
          <w:sz w:val="21"/>
          <w:highlight w:val="none"/>
        </w:rPr>
        <w:t xml:space="preserve"> </w:t>
      </w:r>
      <w:r>
        <w:rPr>
          <w:color w:val="auto"/>
          <w:spacing w:val="-43"/>
          <w:sz w:val="21"/>
          <w:highlight w:val="none"/>
        </w:rPr>
        <w:t xml:space="preserve">款、第 </w:t>
      </w:r>
      <w:r>
        <w:rPr>
          <w:rFonts w:ascii="Times New Roman" w:eastAsia="Times New Roman"/>
          <w:color w:val="auto"/>
          <w:sz w:val="21"/>
          <w:highlight w:val="none"/>
        </w:rPr>
        <w:t>5.3</w:t>
      </w:r>
      <w:r>
        <w:rPr>
          <w:rFonts w:ascii="Times New Roman" w:eastAsia="Times New Roman"/>
          <w:color w:val="auto"/>
          <w:spacing w:val="-6"/>
          <w:sz w:val="21"/>
          <w:highlight w:val="none"/>
        </w:rPr>
        <w:t xml:space="preserve"> </w:t>
      </w:r>
      <w:r>
        <w:rPr>
          <w:color w:val="auto"/>
          <w:spacing w:val="-16"/>
          <w:sz w:val="21"/>
          <w:highlight w:val="none"/>
        </w:rPr>
        <w:t xml:space="preserve">款和第 </w:t>
      </w:r>
      <w:r>
        <w:rPr>
          <w:rFonts w:ascii="Times New Roman" w:eastAsia="Times New Roman"/>
          <w:color w:val="auto"/>
          <w:sz w:val="21"/>
          <w:highlight w:val="none"/>
        </w:rPr>
        <w:t>7.2</w:t>
      </w:r>
      <w:r>
        <w:rPr>
          <w:rFonts w:ascii="Times New Roman" w:eastAsia="Times New Roman"/>
          <w:color w:val="auto"/>
          <w:spacing w:val="-5"/>
          <w:sz w:val="21"/>
          <w:highlight w:val="none"/>
        </w:rPr>
        <w:t xml:space="preserve"> </w:t>
      </w:r>
      <w:r>
        <w:rPr>
          <w:color w:val="auto"/>
          <w:spacing w:val="-13"/>
          <w:sz w:val="21"/>
          <w:highlight w:val="none"/>
        </w:rPr>
        <w:t xml:space="preserve">款的规定先向招标人提出异议。异议答复期间不计算在第 </w:t>
      </w:r>
      <w:r>
        <w:rPr>
          <w:rFonts w:ascii="Times New Roman" w:eastAsia="Times New Roman"/>
          <w:color w:val="auto"/>
          <w:sz w:val="21"/>
          <w:highlight w:val="none"/>
        </w:rPr>
        <w:t xml:space="preserve">8.5.1 </w:t>
      </w:r>
      <w:r>
        <w:rPr>
          <w:color w:val="auto"/>
          <w:spacing w:val="-3"/>
          <w:sz w:val="21"/>
          <w:highlight w:val="none"/>
        </w:rPr>
        <w:t>项规定的期限内。</w:t>
      </w:r>
    </w:p>
    <w:p>
      <w:pPr>
        <w:pStyle w:val="38"/>
        <w:numPr>
          <w:ilvl w:val="0"/>
          <w:numId w:val="2"/>
        </w:numPr>
        <w:tabs>
          <w:tab w:val="left" w:pos="642"/>
        </w:tabs>
        <w:spacing w:line="360" w:lineRule="auto"/>
        <w:ind w:left="0" w:firstLine="200"/>
        <w:rPr>
          <w:rFonts w:asciiTheme="minorEastAsia" w:hAnsiTheme="minorEastAsia" w:eastAsiaTheme="minorEastAsia"/>
          <w:b/>
          <w:color w:val="auto"/>
          <w:sz w:val="32"/>
          <w:highlight w:val="none"/>
        </w:rPr>
      </w:pPr>
      <w:bookmarkStart w:id="159" w:name="_bookmark77"/>
      <w:bookmarkEnd w:id="159"/>
      <w:bookmarkStart w:id="160" w:name="_Toc12012_WPSOffice_Level2"/>
      <w:r>
        <w:rPr>
          <w:rFonts w:hint="eastAsia" w:asciiTheme="minorEastAsia" w:hAnsiTheme="minorEastAsia" w:eastAsiaTheme="minorEastAsia"/>
          <w:b/>
          <w:color w:val="auto"/>
          <w:sz w:val="32"/>
          <w:highlight w:val="none"/>
        </w:rPr>
        <w:t>是否采用电子招标投标</w:t>
      </w:r>
      <w:bookmarkEnd w:id="160"/>
    </w:p>
    <w:p>
      <w:pPr>
        <w:pStyle w:val="2"/>
        <w:spacing w:line="360" w:lineRule="auto"/>
        <w:ind w:firstLine="200"/>
        <w:rPr>
          <w:color w:val="auto"/>
          <w:highlight w:val="none"/>
        </w:rPr>
      </w:pPr>
      <w:r>
        <w:rPr>
          <w:color w:val="auto"/>
          <w:highlight w:val="none"/>
        </w:rPr>
        <w:t>本招标项目是否采用电子招标投标方式，见投标人须知前附表。</w:t>
      </w:r>
    </w:p>
    <w:p>
      <w:pPr>
        <w:pStyle w:val="38"/>
        <w:numPr>
          <w:ilvl w:val="0"/>
          <w:numId w:val="2"/>
        </w:numPr>
        <w:tabs>
          <w:tab w:val="left" w:pos="800"/>
        </w:tabs>
        <w:spacing w:line="360" w:lineRule="auto"/>
        <w:ind w:left="0" w:firstLine="200"/>
        <w:rPr>
          <w:rFonts w:asciiTheme="minorEastAsia" w:hAnsiTheme="minorEastAsia" w:eastAsiaTheme="minorEastAsia"/>
          <w:b/>
          <w:color w:val="auto"/>
          <w:sz w:val="32"/>
          <w:highlight w:val="none"/>
        </w:rPr>
      </w:pPr>
      <w:bookmarkStart w:id="161" w:name="_bookmark78"/>
      <w:bookmarkEnd w:id="161"/>
      <w:bookmarkStart w:id="162" w:name="_Toc20347_WPSOffice_Level2"/>
      <w:r>
        <w:rPr>
          <w:rFonts w:hint="eastAsia" w:asciiTheme="minorEastAsia" w:hAnsiTheme="minorEastAsia" w:eastAsiaTheme="minorEastAsia"/>
          <w:b/>
          <w:color w:val="auto"/>
          <w:sz w:val="32"/>
          <w:highlight w:val="none"/>
        </w:rPr>
        <w:t>需要补充的其他内容</w:t>
      </w:r>
      <w:bookmarkEnd w:id="162"/>
    </w:p>
    <w:p>
      <w:pPr>
        <w:pStyle w:val="2"/>
        <w:spacing w:line="360" w:lineRule="auto"/>
        <w:ind w:firstLine="200"/>
        <w:rPr>
          <w:color w:val="auto"/>
          <w:highlight w:val="none"/>
        </w:rPr>
      </w:pPr>
      <w:r>
        <w:rPr>
          <w:color w:val="auto"/>
          <w:highlight w:val="none"/>
        </w:rPr>
        <w:t>需要补充的其他内容：见投标人须知前附表</w:t>
      </w:r>
      <w:r>
        <w:rPr>
          <w:rFonts w:hint="eastAsia"/>
          <w:color w:val="auto"/>
          <w:highlight w:val="none"/>
        </w:rPr>
        <w:t>。</w:t>
      </w:r>
    </w:p>
    <w:p>
      <w:pPr>
        <w:pStyle w:val="2"/>
        <w:spacing w:line="360" w:lineRule="auto"/>
        <w:ind w:firstLine="200"/>
        <w:rPr>
          <w:color w:val="auto"/>
          <w:sz w:val="18"/>
          <w:highlight w:val="none"/>
        </w:rPr>
      </w:pPr>
    </w:p>
    <w:p>
      <w:pPr>
        <w:ind w:left="240"/>
        <w:rPr>
          <w:b/>
          <w:color w:val="auto"/>
          <w:sz w:val="21"/>
          <w:szCs w:val="21"/>
          <w:highlight w:val="none"/>
        </w:rPr>
      </w:pPr>
      <w:bookmarkStart w:id="163" w:name="_Toc5641_WPSOffice_Level2"/>
    </w:p>
    <w:bookmarkEnd w:id="163"/>
    <w:p>
      <w:pPr>
        <w:widowControl/>
        <w:autoSpaceDE/>
        <w:autoSpaceDN/>
        <w:rPr>
          <w:rFonts w:cs="Microsoft JhengHei" w:asciiTheme="majorEastAsia" w:hAnsiTheme="majorEastAsia" w:eastAsiaTheme="majorEastAsia"/>
          <w:b/>
          <w:bCs/>
          <w:color w:val="auto"/>
          <w:sz w:val="44"/>
          <w:szCs w:val="44"/>
          <w:highlight w:val="none"/>
        </w:rPr>
      </w:pPr>
      <w:bookmarkStart w:id="164" w:name="_bookmark87"/>
      <w:bookmarkEnd w:id="164"/>
      <w:bookmarkStart w:id="165" w:name="_Toc28492_WPSOffice_Level2"/>
      <w:r>
        <w:rPr>
          <w:rFonts w:asciiTheme="majorEastAsia" w:hAnsiTheme="majorEastAsia" w:eastAsiaTheme="majorEastAsia"/>
          <w:color w:val="auto"/>
          <w:highlight w:val="none"/>
        </w:rPr>
        <w:br w:type="page"/>
      </w:r>
    </w:p>
    <w:p>
      <w:pPr>
        <w:pStyle w:val="3"/>
        <w:ind w:right="456"/>
        <w:rPr>
          <w:rFonts w:asciiTheme="majorEastAsia" w:hAnsiTheme="majorEastAsia" w:eastAsiaTheme="majorEastAsia"/>
          <w:color w:val="auto"/>
          <w:highlight w:val="none"/>
        </w:rPr>
      </w:pPr>
      <w:bookmarkStart w:id="166" w:name="_Toc72847673"/>
      <w:r>
        <w:rPr>
          <w:rFonts w:asciiTheme="majorEastAsia" w:hAnsiTheme="majorEastAsia" w:eastAsiaTheme="majorEastAsia"/>
          <w:color w:val="auto"/>
          <w:highlight w:val="none"/>
        </w:rPr>
        <w:t>第三章评标办法</w:t>
      </w:r>
      <w:bookmarkEnd w:id="166"/>
    </w:p>
    <w:p>
      <w:pPr>
        <w:ind w:left="240"/>
        <w:rPr>
          <w:b/>
          <w:color w:val="auto"/>
          <w:sz w:val="21"/>
          <w:szCs w:val="21"/>
          <w:highlight w:val="none"/>
        </w:rPr>
      </w:pPr>
    </w:p>
    <w:p>
      <w:pPr>
        <w:ind w:left="238"/>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评标办法前附表</w:t>
      </w:r>
    </w:p>
    <w:p>
      <w:pPr>
        <w:pStyle w:val="2"/>
        <w:jc w:val="center"/>
        <w:rPr>
          <w:color w:val="auto"/>
          <w:highlight w:val="none"/>
        </w:rPr>
      </w:pPr>
      <w:r>
        <w:rPr>
          <w:rFonts w:hint="eastAsia"/>
          <w:color w:val="auto"/>
          <w:szCs w:val="20"/>
          <w:highlight w:val="none"/>
        </w:rPr>
        <w:t>前附表内容与正文不一致的，以前附表内容为准。</w:t>
      </w:r>
    </w:p>
    <w:tbl>
      <w:tblPr>
        <w:tblStyle w:val="24"/>
        <w:tblpPr w:leftFromText="180" w:rightFromText="180" w:vertAnchor="text" w:horzAnchor="page" w:tblpXSpec="center" w:tblpY="756"/>
        <w:tblOverlap w:val="never"/>
        <w:tblW w:w="91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321"/>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2023" w:type="dxa"/>
            <w:gridSpan w:val="2"/>
          </w:tcPr>
          <w:p>
            <w:pPr>
              <w:pStyle w:val="39"/>
              <w:spacing w:before="74" w:line="346" w:lineRule="exact"/>
              <w:ind w:left="675" w:right="668"/>
              <w:jc w:val="center"/>
              <w:rPr>
                <w:rFonts w:ascii="Microsoft JhengHei" w:eastAsia="Microsoft JhengHei"/>
                <w:b/>
                <w:color w:val="auto"/>
                <w:sz w:val="21"/>
                <w:highlight w:val="none"/>
              </w:rPr>
            </w:pPr>
            <w:r>
              <w:rPr>
                <w:rFonts w:hint="eastAsia" w:ascii="Microsoft JhengHei" w:eastAsia="Microsoft JhengHei"/>
                <w:b/>
                <w:color w:val="auto"/>
                <w:sz w:val="21"/>
                <w:highlight w:val="none"/>
              </w:rPr>
              <w:t>条款号</w:t>
            </w:r>
          </w:p>
        </w:tc>
        <w:tc>
          <w:tcPr>
            <w:tcW w:w="2477" w:type="dxa"/>
          </w:tcPr>
          <w:p>
            <w:pPr>
              <w:pStyle w:val="39"/>
              <w:spacing w:before="74" w:line="346" w:lineRule="exact"/>
              <w:ind w:left="62" w:right="52"/>
              <w:jc w:val="center"/>
              <w:rPr>
                <w:rFonts w:ascii="Microsoft JhengHei" w:eastAsia="Microsoft JhengHei"/>
                <w:b/>
                <w:color w:val="auto"/>
                <w:sz w:val="21"/>
                <w:highlight w:val="none"/>
              </w:rPr>
            </w:pPr>
            <w:r>
              <w:rPr>
                <w:rFonts w:hint="eastAsia" w:ascii="Microsoft JhengHei" w:eastAsia="Microsoft JhengHei"/>
                <w:b/>
                <w:color w:val="auto"/>
                <w:sz w:val="21"/>
                <w:highlight w:val="none"/>
              </w:rPr>
              <w:t>评审因素</w:t>
            </w:r>
          </w:p>
        </w:tc>
        <w:tc>
          <w:tcPr>
            <w:tcW w:w="4681" w:type="dxa"/>
          </w:tcPr>
          <w:p>
            <w:pPr>
              <w:pStyle w:val="39"/>
              <w:spacing w:before="74" w:line="346" w:lineRule="exact"/>
              <w:ind w:left="1900" w:right="1890"/>
              <w:jc w:val="center"/>
              <w:rPr>
                <w:rFonts w:ascii="Microsoft JhengHei" w:eastAsia="Microsoft JhengHei"/>
                <w:b/>
                <w:color w:val="auto"/>
                <w:sz w:val="21"/>
                <w:highlight w:val="none"/>
              </w:rPr>
            </w:pPr>
            <w:r>
              <w:rPr>
                <w:rFonts w:hint="eastAsia" w:ascii="Microsoft JhengHei" w:eastAsia="Microsoft JhengHei"/>
                <w:b/>
                <w:color w:val="auto"/>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702" w:type="dxa"/>
            <w:vMerge w:val="restart"/>
            <w:vAlign w:val="center"/>
          </w:tcPr>
          <w:p>
            <w:pPr>
              <w:pStyle w:val="39"/>
              <w:jc w:val="center"/>
              <w:rPr>
                <w:rFonts w:ascii="Times New Roman"/>
                <w:color w:val="auto"/>
                <w:sz w:val="21"/>
                <w:highlight w:val="none"/>
              </w:rPr>
            </w:pPr>
            <w:r>
              <w:rPr>
                <w:rFonts w:ascii="Times New Roman"/>
                <w:color w:val="auto"/>
                <w:sz w:val="21"/>
                <w:highlight w:val="none"/>
              </w:rPr>
              <w:t>2.1.1</w:t>
            </w:r>
          </w:p>
        </w:tc>
        <w:tc>
          <w:tcPr>
            <w:tcW w:w="1321" w:type="dxa"/>
            <w:vMerge w:val="restart"/>
          </w:tcPr>
          <w:p>
            <w:pPr>
              <w:pStyle w:val="39"/>
              <w:jc w:val="center"/>
              <w:rPr>
                <w:rFonts w:ascii="Microsoft JhengHei"/>
                <w:b/>
                <w:color w:val="auto"/>
                <w:sz w:val="20"/>
                <w:highlight w:val="none"/>
              </w:rPr>
            </w:pPr>
          </w:p>
          <w:p>
            <w:pPr>
              <w:pStyle w:val="39"/>
              <w:spacing w:line="391" w:lineRule="auto"/>
              <w:ind w:right="127"/>
              <w:jc w:val="center"/>
              <w:rPr>
                <w:color w:val="auto"/>
                <w:sz w:val="21"/>
                <w:highlight w:val="none"/>
              </w:rPr>
            </w:pPr>
            <w:r>
              <w:rPr>
                <w:color w:val="auto"/>
                <w:sz w:val="21"/>
                <w:highlight w:val="none"/>
              </w:rPr>
              <w:t>形式评审标准</w:t>
            </w:r>
          </w:p>
        </w:tc>
        <w:tc>
          <w:tcPr>
            <w:tcW w:w="2477" w:type="dxa"/>
          </w:tcPr>
          <w:p>
            <w:pPr>
              <w:pStyle w:val="39"/>
              <w:spacing w:before="143"/>
              <w:ind w:left="63" w:right="50"/>
              <w:jc w:val="center"/>
              <w:rPr>
                <w:color w:val="auto"/>
                <w:sz w:val="21"/>
                <w:highlight w:val="none"/>
                <w:lang w:val="en-US"/>
              </w:rPr>
            </w:pPr>
            <w:r>
              <w:rPr>
                <w:rFonts w:hint="eastAsia"/>
                <w:color w:val="auto"/>
                <w:sz w:val="21"/>
                <w:highlight w:val="none"/>
                <w:lang w:val="en-US"/>
              </w:rPr>
              <w:t>投标人名称</w:t>
            </w:r>
          </w:p>
        </w:tc>
        <w:tc>
          <w:tcPr>
            <w:tcW w:w="4681" w:type="dxa"/>
          </w:tcPr>
          <w:p>
            <w:pPr>
              <w:pStyle w:val="39"/>
              <w:spacing w:before="143"/>
              <w:ind w:left="63" w:right="50"/>
              <w:rPr>
                <w:color w:val="auto"/>
                <w:sz w:val="21"/>
                <w:highlight w:val="none"/>
                <w:lang w:val="en-US"/>
              </w:rPr>
            </w:pPr>
            <w:r>
              <w:rPr>
                <w:rFonts w:hint="eastAsia"/>
                <w:color w:val="auto"/>
                <w:sz w:val="21"/>
                <w:highlight w:val="none"/>
                <w:lang w:val="en-US"/>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702" w:type="dxa"/>
            <w:vMerge w:val="continue"/>
            <w:tcBorders>
              <w:top w:val="nil"/>
            </w:tcBorders>
            <w:vAlign w:val="center"/>
          </w:tcPr>
          <w:p>
            <w:pPr>
              <w:jc w:val="center"/>
              <w:rPr>
                <w:color w:val="auto"/>
                <w:sz w:val="2"/>
                <w:szCs w:val="2"/>
                <w:highlight w:val="none"/>
              </w:rPr>
            </w:pPr>
          </w:p>
        </w:tc>
        <w:tc>
          <w:tcPr>
            <w:tcW w:w="1321" w:type="dxa"/>
            <w:vMerge w:val="continue"/>
            <w:tcBorders>
              <w:top w:val="nil"/>
            </w:tcBorders>
          </w:tcPr>
          <w:p>
            <w:pPr>
              <w:jc w:val="center"/>
              <w:rPr>
                <w:color w:val="auto"/>
                <w:sz w:val="2"/>
                <w:szCs w:val="2"/>
                <w:highlight w:val="none"/>
              </w:rPr>
            </w:pPr>
          </w:p>
        </w:tc>
        <w:tc>
          <w:tcPr>
            <w:tcW w:w="2477" w:type="dxa"/>
            <w:vAlign w:val="center"/>
          </w:tcPr>
          <w:p>
            <w:pPr>
              <w:pStyle w:val="39"/>
              <w:spacing w:before="143"/>
              <w:ind w:left="63" w:right="50"/>
              <w:jc w:val="center"/>
              <w:rPr>
                <w:color w:val="auto"/>
                <w:sz w:val="21"/>
                <w:highlight w:val="none"/>
                <w:lang w:val="en-US"/>
              </w:rPr>
            </w:pPr>
            <w:r>
              <w:rPr>
                <w:rFonts w:hint="eastAsia"/>
                <w:color w:val="auto"/>
                <w:sz w:val="21"/>
                <w:highlight w:val="none"/>
                <w:lang w:val="en-US"/>
              </w:rPr>
              <w:t>签字、盖章</w:t>
            </w:r>
          </w:p>
        </w:tc>
        <w:tc>
          <w:tcPr>
            <w:tcW w:w="4681" w:type="dxa"/>
            <w:vAlign w:val="center"/>
          </w:tcPr>
          <w:p>
            <w:pPr>
              <w:pStyle w:val="39"/>
              <w:spacing w:before="143"/>
              <w:ind w:left="63" w:right="50"/>
              <w:rPr>
                <w:color w:val="auto"/>
                <w:sz w:val="21"/>
                <w:highlight w:val="none"/>
                <w:lang w:val="en-US"/>
              </w:rPr>
            </w:pPr>
            <w:r>
              <w:rPr>
                <w:rFonts w:hint="eastAsia"/>
                <w:color w:val="auto"/>
                <w:sz w:val="21"/>
                <w:highlight w:val="none"/>
                <w:lang w:val="en-US"/>
              </w:rPr>
              <w:t>符合第二章“投标人须知”的规定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702" w:type="dxa"/>
            <w:vMerge w:val="continue"/>
            <w:tcBorders>
              <w:top w:val="nil"/>
            </w:tcBorders>
            <w:vAlign w:val="center"/>
          </w:tcPr>
          <w:p>
            <w:pPr>
              <w:jc w:val="center"/>
              <w:rPr>
                <w:color w:val="auto"/>
                <w:sz w:val="2"/>
                <w:szCs w:val="2"/>
                <w:highlight w:val="none"/>
              </w:rPr>
            </w:pPr>
          </w:p>
        </w:tc>
        <w:tc>
          <w:tcPr>
            <w:tcW w:w="1321" w:type="dxa"/>
            <w:vMerge w:val="continue"/>
            <w:tcBorders>
              <w:top w:val="nil"/>
            </w:tcBorders>
          </w:tcPr>
          <w:p>
            <w:pPr>
              <w:jc w:val="center"/>
              <w:rPr>
                <w:color w:val="auto"/>
                <w:sz w:val="2"/>
                <w:szCs w:val="2"/>
                <w:highlight w:val="none"/>
              </w:rPr>
            </w:pPr>
          </w:p>
        </w:tc>
        <w:tc>
          <w:tcPr>
            <w:tcW w:w="2477" w:type="dxa"/>
            <w:vAlign w:val="center"/>
          </w:tcPr>
          <w:p>
            <w:pPr>
              <w:pStyle w:val="39"/>
              <w:spacing w:before="143"/>
              <w:ind w:left="63" w:right="50"/>
              <w:jc w:val="center"/>
              <w:rPr>
                <w:color w:val="auto"/>
                <w:sz w:val="21"/>
                <w:highlight w:val="none"/>
                <w:lang w:val="en-US"/>
              </w:rPr>
            </w:pPr>
            <w:r>
              <w:rPr>
                <w:rFonts w:hint="eastAsia"/>
                <w:color w:val="auto"/>
                <w:sz w:val="21"/>
                <w:highlight w:val="none"/>
                <w:lang w:val="en-US"/>
              </w:rPr>
              <w:t>投标文件格式</w:t>
            </w:r>
          </w:p>
        </w:tc>
        <w:tc>
          <w:tcPr>
            <w:tcW w:w="4681" w:type="dxa"/>
            <w:vAlign w:val="center"/>
          </w:tcPr>
          <w:p>
            <w:pPr>
              <w:pStyle w:val="39"/>
              <w:spacing w:before="143"/>
              <w:ind w:left="63" w:right="50"/>
              <w:rPr>
                <w:color w:val="auto"/>
                <w:sz w:val="21"/>
                <w:highlight w:val="none"/>
                <w:lang w:val="en-US"/>
              </w:rPr>
            </w:pPr>
            <w:r>
              <w:rPr>
                <w:rFonts w:hint="eastAsia"/>
                <w:color w:val="auto"/>
                <w:sz w:val="21"/>
                <w:highlight w:val="none"/>
                <w:lang w:val="en-US"/>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702" w:type="dxa"/>
            <w:vMerge w:val="restart"/>
            <w:vAlign w:val="center"/>
          </w:tcPr>
          <w:p>
            <w:pPr>
              <w:pStyle w:val="39"/>
              <w:jc w:val="center"/>
              <w:rPr>
                <w:rFonts w:ascii="Times New Roman"/>
                <w:color w:val="auto"/>
                <w:sz w:val="21"/>
                <w:highlight w:val="none"/>
              </w:rPr>
            </w:pPr>
            <w:r>
              <w:rPr>
                <w:rFonts w:ascii="Times New Roman"/>
                <w:color w:val="auto"/>
                <w:sz w:val="21"/>
                <w:highlight w:val="none"/>
              </w:rPr>
              <w:t>2.1.2</w:t>
            </w:r>
          </w:p>
        </w:tc>
        <w:tc>
          <w:tcPr>
            <w:tcW w:w="1321" w:type="dxa"/>
            <w:vMerge w:val="restart"/>
          </w:tcPr>
          <w:p>
            <w:pPr>
              <w:pStyle w:val="39"/>
              <w:spacing w:before="4"/>
              <w:rPr>
                <w:rFonts w:ascii="Microsoft JhengHei"/>
                <w:b/>
                <w:color w:val="auto"/>
                <w:sz w:val="20"/>
                <w:highlight w:val="none"/>
              </w:rPr>
            </w:pPr>
          </w:p>
          <w:p>
            <w:pPr>
              <w:pStyle w:val="39"/>
              <w:spacing w:before="4"/>
              <w:rPr>
                <w:rFonts w:ascii="Microsoft JhengHei"/>
                <w:b/>
                <w:color w:val="auto"/>
                <w:sz w:val="21"/>
                <w:highlight w:val="none"/>
              </w:rPr>
            </w:pPr>
          </w:p>
          <w:p>
            <w:pPr>
              <w:pStyle w:val="39"/>
              <w:spacing w:line="391" w:lineRule="auto"/>
              <w:ind w:left="350" w:right="127" w:hanging="209"/>
              <w:rPr>
                <w:color w:val="auto"/>
                <w:sz w:val="21"/>
                <w:highlight w:val="none"/>
              </w:rPr>
            </w:pPr>
            <w:r>
              <w:rPr>
                <w:color w:val="auto"/>
                <w:sz w:val="21"/>
                <w:highlight w:val="none"/>
              </w:rPr>
              <w:t>资格评审标准</w:t>
            </w:r>
          </w:p>
        </w:tc>
        <w:tc>
          <w:tcPr>
            <w:tcW w:w="2477" w:type="dxa"/>
            <w:vAlign w:val="center"/>
          </w:tcPr>
          <w:p>
            <w:pPr>
              <w:pStyle w:val="39"/>
              <w:spacing w:before="142"/>
              <w:ind w:left="63" w:right="50"/>
              <w:jc w:val="center"/>
              <w:rPr>
                <w:color w:val="auto"/>
                <w:sz w:val="21"/>
                <w:highlight w:val="none"/>
              </w:rPr>
            </w:pPr>
            <w:r>
              <w:rPr>
                <w:color w:val="auto"/>
                <w:sz w:val="21"/>
                <w:highlight w:val="none"/>
              </w:rPr>
              <w:t>营业执照</w:t>
            </w:r>
          </w:p>
        </w:tc>
        <w:tc>
          <w:tcPr>
            <w:tcW w:w="4681" w:type="dxa"/>
            <w:vAlign w:val="center"/>
          </w:tcPr>
          <w:p>
            <w:pPr>
              <w:pStyle w:val="39"/>
              <w:spacing w:before="142"/>
              <w:ind w:left="63" w:right="50"/>
              <w:rPr>
                <w:color w:val="auto"/>
                <w:sz w:val="21"/>
                <w:highlight w:val="none"/>
                <w:lang w:val="en-US"/>
              </w:rPr>
            </w:pPr>
            <w:r>
              <w:rPr>
                <w:rFonts w:hint="eastAsia"/>
                <w:color w:val="auto"/>
                <w:sz w:val="24"/>
                <w:szCs w:val="24"/>
                <w:highlight w:val="none"/>
                <w:lang w:val="en-US"/>
              </w:rPr>
              <w:t>提供有效的营业执照、基本账户开户许可证或基本存款账户信息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702" w:type="dxa"/>
            <w:vMerge w:val="continue"/>
            <w:tcBorders>
              <w:top w:val="nil"/>
            </w:tcBorders>
            <w:vAlign w:val="center"/>
          </w:tcPr>
          <w:p>
            <w:pPr>
              <w:jc w:val="center"/>
              <w:rPr>
                <w:color w:val="auto"/>
                <w:sz w:val="2"/>
                <w:szCs w:val="2"/>
                <w:highlight w:val="none"/>
              </w:rPr>
            </w:pPr>
          </w:p>
        </w:tc>
        <w:tc>
          <w:tcPr>
            <w:tcW w:w="1321" w:type="dxa"/>
            <w:vMerge w:val="continue"/>
            <w:tcBorders>
              <w:top w:val="nil"/>
            </w:tcBorders>
          </w:tcPr>
          <w:p>
            <w:pPr>
              <w:jc w:val="center"/>
              <w:rPr>
                <w:color w:val="auto"/>
                <w:sz w:val="2"/>
                <w:szCs w:val="2"/>
                <w:highlight w:val="none"/>
              </w:rPr>
            </w:pPr>
          </w:p>
        </w:tc>
        <w:tc>
          <w:tcPr>
            <w:tcW w:w="2477" w:type="dxa"/>
          </w:tcPr>
          <w:p>
            <w:pPr>
              <w:pStyle w:val="39"/>
              <w:spacing w:before="142"/>
              <w:ind w:left="63" w:right="50"/>
              <w:jc w:val="center"/>
              <w:rPr>
                <w:color w:val="auto"/>
                <w:sz w:val="21"/>
                <w:highlight w:val="none"/>
              </w:rPr>
            </w:pPr>
            <w:r>
              <w:rPr>
                <w:color w:val="auto"/>
                <w:sz w:val="21"/>
                <w:highlight w:val="none"/>
              </w:rPr>
              <w:t>业绩要求</w:t>
            </w:r>
          </w:p>
        </w:tc>
        <w:tc>
          <w:tcPr>
            <w:tcW w:w="4681" w:type="dxa"/>
          </w:tcPr>
          <w:p>
            <w:pPr>
              <w:pStyle w:val="39"/>
              <w:spacing w:before="142"/>
              <w:ind w:left="63" w:right="50"/>
              <w:rPr>
                <w:color w:val="auto"/>
                <w:sz w:val="21"/>
                <w:highlight w:val="none"/>
              </w:rPr>
            </w:pPr>
            <w:r>
              <w:rPr>
                <w:color w:val="auto"/>
                <w:sz w:val="21"/>
                <w:highlight w:val="none"/>
              </w:rPr>
              <w:t>符合第二章“投标人须知”</w:t>
            </w:r>
            <w:r>
              <w:rPr>
                <w:rFonts w:hint="eastAsia"/>
                <w:color w:val="auto"/>
                <w:sz w:val="21"/>
                <w:highlight w:val="none"/>
                <w:lang w:val="en-US"/>
              </w:rPr>
              <w:t>的</w:t>
            </w:r>
            <w:r>
              <w:rPr>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702" w:type="dxa"/>
            <w:vMerge w:val="continue"/>
            <w:tcBorders>
              <w:top w:val="nil"/>
            </w:tcBorders>
            <w:vAlign w:val="center"/>
          </w:tcPr>
          <w:p>
            <w:pPr>
              <w:jc w:val="center"/>
              <w:rPr>
                <w:color w:val="auto"/>
                <w:sz w:val="2"/>
                <w:szCs w:val="2"/>
                <w:highlight w:val="none"/>
              </w:rPr>
            </w:pPr>
          </w:p>
        </w:tc>
        <w:tc>
          <w:tcPr>
            <w:tcW w:w="1321" w:type="dxa"/>
            <w:vMerge w:val="continue"/>
            <w:tcBorders>
              <w:top w:val="nil"/>
            </w:tcBorders>
          </w:tcPr>
          <w:p>
            <w:pPr>
              <w:jc w:val="center"/>
              <w:rPr>
                <w:color w:val="auto"/>
                <w:sz w:val="2"/>
                <w:szCs w:val="2"/>
                <w:highlight w:val="none"/>
              </w:rPr>
            </w:pPr>
          </w:p>
        </w:tc>
        <w:tc>
          <w:tcPr>
            <w:tcW w:w="2477" w:type="dxa"/>
          </w:tcPr>
          <w:p>
            <w:pPr>
              <w:pStyle w:val="39"/>
              <w:spacing w:before="142"/>
              <w:ind w:left="63" w:right="50"/>
              <w:jc w:val="center"/>
              <w:rPr>
                <w:color w:val="auto"/>
                <w:sz w:val="21"/>
                <w:highlight w:val="none"/>
              </w:rPr>
            </w:pPr>
            <w:r>
              <w:rPr>
                <w:color w:val="auto"/>
                <w:sz w:val="21"/>
                <w:highlight w:val="none"/>
              </w:rPr>
              <w:t>信誉要求</w:t>
            </w:r>
          </w:p>
        </w:tc>
        <w:tc>
          <w:tcPr>
            <w:tcW w:w="4681" w:type="dxa"/>
          </w:tcPr>
          <w:p>
            <w:pPr>
              <w:pStyle w:val="39"/>
              <w:spacing w:before="142"/>
              <w:ind w:left="63" w:right="50"/>
              <w:rPr>
                <w:color w:val="auto"/>
                <w:sz w:val="21"/>
                <w:highlight w:val="none"/>
                <w:lang w:val="en-US"/>
              </w:rPr>
            </w:pPr>
            <w:r>
              <w:rPr>
                <w:rFonts w:hint="eastAsia"/>
                <w:color w:val="auto"/>
                <w:sz w:val="21"/>
                <w:highlight w:val="none"/>
                <w:lang w:val="en-US"/>
              </w:rPr>
              <w:t>符合第二章“投标人须知”的规定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702" w:type="dxa"/>
            <w:vMerge w:val="continue"/>
            <w:tcBorders>
              <w:top w:val="nil"/>
            </w:tcBorders>
            <w:vAlign w:val="center"/>
          </w:tcPr>
          <w:p>
            <w:pPr>
              <w:jc w:val="center"/>
              <w:rPr>
                <w:color w:val="auto"/>
                <w:sz w:val="2"/>
                <w:szCs w:val="2"/>
                <w:highlight w:val="none"/>
              </w:rPr>
            </w:pPr>
          </w:p>
        </w:tc>
        <w:tc>
          <w:tcPr>
            <w:tcW w:w="1321" w:type="dxa"/>
            <w:vMerge w:val="continue"/>
            <w:tcBorders>
              <w:top w:val="nil"/>
            </w:tcBorders>
          </w:tcPr>
          <w:p>
            <w:pPr>
              <w:jc w:val="center"/>
              <w:rPr>
                <w:color w:val="auto"/>
                <w:sz w:val="2"/>
                <w:szCs w:val="2"/>
                <w:highlight w:val="none"/>
              </w:rPr>
            </w:pPr>
          </w:p>
        </w:tc>
        <w:tc>
          <w:tcPr>
            <w:tcW w:w="2477" w:type="dxa"/>
          </w:tcPr>
          <w:p>
            <w:pPr>
              <w:pStyle w:val="39"/>
              <w:spacing w:before="14"/>
              <w:rPr>
                <w:rFonts w:ascii="Microsoft JhengHei"/>
                <w:b/>
                <w:color w:val="auto"/>
                <w:sz w:val="19"/>
                <w:highlight w:val="none"/>
              </w:rPr>
            </w:pPr>
          </w:p>
          <w:p>
            <w:pPr>
              <w:pStyle w:val="39"/>
              <w:ind w:left="61" w:right="52"/>
              <w:jc w:val="center"/>
              <w:rPr>
                <w:color w:val="auto"/>
                <w:sz w:val="21"/>
                <w:highlight w:val="none"/>
              </w:rPr>
            </w:pPr>
            <w:r>
              <w:rPr>
                <w:color w:val="auto"/>
                <w:sz w:val="21"/>
                <w:highlight w:val="none"/>
              </w:rPr>
              <w:t>不存在禁止投标的情形</w:t>
            </w:r>
          </w:p>
        </w:tc>
        <w:tc>
          <w:tcPr>
            <w:tcW w:w="4681" w:type="dxa"/>
          </w:tcPr>
          <w:p>
            <w:pPr>
              <w:pStyle w:val="39"/>
              <w:spacing w:before="142"/>
              <w:ind w:left="63" w:right="50"/>
              <w:rPr>
                <w:color w:val="auto"/>
                <w:sz w:val="21"/>
                <w:highlight w:val="none"/>
                <w:lang w:val="en-US"/>
              </w:rPr>
            </w:pPr>
            <w:r>
              <w:rPr>
                <w:rFonts w:hint="eastAsia"/>
                <w:color w:val="auto"/>
                <w:sz w:val="21"/>
                <w:highlight w:val="none"/>
                <w:lang w:val="en-US"/>
              </w:rPr>
              <w:t>不存在第二章“投标人须知”第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702" w:type="dxa"/>
            <w:vMerge w:val="restart"/>
            <w:vAlign w:val="center"/>
          </w:tcPr>
          <w:p>
            <w:pPr>
              <w:pStyle w:val="39"/>
              <w:jc w:val="center"/>
              <w:rPr>
                <w:rFonts w:ascii="Times New Roman"/>
                <w:color w:val="auto"/>
                <w:sz w:val="21"/>
                <w:highlight w:val="none"/>
              </w:rPr>
            </w:pPr>
            <w:r>
              <w:rPr>
                <w:rFonts w:ascii="Times New Roman"/>
                <w:color w:val="auto"/>
                <w:sz w:val="21"/>
                <w:highlight w:val="none"/>
              </w:rPr>
              <w:t>2.1.3</w:t>
            </w:r>
          </w:p>
        </w:tc>
        <w:tc>
          <w:tcPr>
            <w:tcW w:w="1321" w:type="dxa"/>
            <w:vMerge w:val="restart"/>
          </w:tcPr>
          <w:p>
            <w:pPr>
              <w:pStyle w:val="39"/>
              <w:jc w:val="center"/>
              <w:rPr>
                <w:rFonts w:ascii="Microsoft JhengHei"/>
                <w:b/>
                <w:color w:val="auto"/>
                <w:sz w:val="20"/>
                <w:highlight w:val="none"/>
              </w:rPr>
            </w:pPr>
          </w:p>
          <w:p>
            <w:pPr>
              <w:pStyle w:val="39"/>
              <w:jc w:val="center"/>
              <w:rPr>
                <w:rFonts w:ascii="Microsoft JhengHei"/>
                <w:b/>
                <w:color w:val="auto"/>
                <w:sz w:val="20"/>
                <w:highlight w:val="none"/>
              </w:rPr>
            </w:pPr>
          </w:p>
          <w:p>
            <w:pPr>
              <w:pStyle w:val="39"/>
              <w:jc w:val="center"/>
              <w:rPr>
                <w:rFonts w:ascii="Microsoft JhengHei"/>
                <w:b/>
                <w:color w:val="auto"/>
                <w:sz w:val="20"/>
                <w:highlight w:val="none"/>
              </w:rPr>
            </w:pPr>
          </w:p>
          <w:p>
            <w:pPr>
              <w:pStyle w:val="39"/>
              <w:spacing w:before="14"/>
              <w:rPr>
                <w:rFonts w:ascii="Microsoft JhengHei"/>
                <w:b/>
                <w:color w:val="auto"/>
                <w:sz w:val="25"/>
                <w:highlight w:val="none"/>
              </w:rPr>
            </w:pPr>
          </w:p>
          <w:p>
            <w:pPr>
              <w:pStyle w:val="39"/>
              <w:spacing w:line="391" w:lineRule="auto"/>
              <w:ind w:left="244" w:right="127" w:hanging="104"/>
              <w:jc w:val="center"/>
              <w:rPr>
                <w:color w:val="auto"/>
                <w:sz w:val="21"/>
                <w:highlight w:val="none"/>
              </w:rPr>
            </w:pPr>
            <w:r>
              <w:rPr>
                <w:color w:val="auto"/>
                <w:sz w:val="21"/>
                <w:highlight w:val="none"/>
              </w:rPr>
              <w:t>响应性评审标准</w:t>
            </w:r>
          </w:p>
        </w:tc>
        <w:tc>
          <w:tcPr>
            <w:tcW w:w="2477" w:type="dxa"/>
          </w:tcPr>
          <w:p>
            <w:pPr>
              <w:pStyle w:val="39"/>
              <w:spacing w:before="145"/>
              <w:ind w:left="63" w:right="50"/>
              <w:jc w:val="center"/>
              <w:rPr>
                <w:color w:val="auto"/>
                <w:sz w:val="21"/>
                <w:highlight w:val="none"/>
              </w:rPr>
            </w:pPr>
            <w:r>
              <w:rPr>
                <w:color w:val="auto"/>
                <w:sz w:val="21"/>
                <w:highlight w:val="none"/>
              </w:rPr>
              <w:t>投标报价</w:t>
            </w:r>
          </w:p>
        </w:tc>
        <w:tc>
          <w:tcPr>
            <w:tcW w:w="4681" w:type="dxa"/>
          </w:tcPr>
          <w:p>
            <w:pPr>
              <w:pStyle w:val="39"/>
              <w:spacing w:before="145"/>
              <w:ind w:left="108"/>
              <w:rPr>
                <w:color w:val="auto"/>
                <w:sz w:val="21"/>
                <w:highlight w:val="none"/>
              </w:rPr>
            </w:pPr>
            <w:r>
              <w:rPr>
                <w:color w:val="auto"/>
                <w:sz w:val="21"/>
                <w:highlight w:val="none"/>
              </w:rPr>
              <w:t>符合第二章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rFonts w:hint="eastAsia"/>
                <w:color w:val="auto"/>
                <w:sz w:val="21"/>
                <w:highlight w:val="none"/>
                <w:lang w:val="en-US"/>
              </w:rPr>
              <w:t>的</w:t>
            </w:r>
            <w:r>
              <w:rPr>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702" w:type="dxa"/>
            <w:vMerge w:val="continue"/>
            <w:tcBorders>
              <w:top w:val="nil"/>
            </w:tcBorders>
          </w:tcPr>
          <w:p>
            <w:pPr>
              <w:rPr>
                <w:color w:val="auto"/>
                <w:sz w:val="2"/>
                <w:szCs w:val="2"/>
                <w:highlight w:val="none"/>
              </w:rPr>
            </w:pPr>
          </w:p>
        </w:tc>
        <w:tc>
          <w:tcPr>
            <w:tcW w:w="1321" w:type="dxa"/>
            <w:vMerge w:val="continue"/>
            <w:tcBorders>
              <w:top w:val="nil"/>
            </w:tcBorders>
          </w:tcPr>
          <w:p>
            <w:pPr>
              <w:rPr>
                <w:color w:val="auto"/>
                <w:sz w:val="2"/>
                <w:szCs w:val="2"/>
                <w:highlight w:val="none"/>
              </w:rPr>
            </w:pPr>
          </w:p>
        </w:tc>
        <w:tc>
          <w:tcPr>
            <w:tcW w:w="2477" w:type="dxa"/>
          </w:tcPr>
          <w:p>
            <w:pPr>
              <w:pStyle w:val="39"/>
              <w:spacing w:before="143"/>
              <w:ind w:left="63" w:right="50"/>
              <w:jc w:val="center"/>
              <w:rPr>
                <w:color w:val="auto"/>
                <w:sz w:val="21"/>
                <w:highlight w:val="none"/>
              </w:rPr>
            </w:pPr>
            <w:r>
              <w:rPr>
                <w:color w:val="auto"/>
                <w:sz w:val="21"/>
                <w:highlight w:val="none"/>
              </w:rPr>
              <w:t>投标内容</w:t>
            </w:r>
          </w:p>
        </w:tc>
        <w:tc>
          <w:tcPr>
            <w:tcW w:w="4681" w:type="dxa"/>
          </w:tcPr>
          <w:p>
            <w:pPr>
              <w:pStyle w:val="39"/>
              <w:spacing w:before="143"/>
              <w:ind w:left="108"/>
              <w:rPr>
                <w:color w:val="auto"/>
                <w:sz w:val="21"/>
                <w:highlight w:val="none"/>
              </w:rPr>
            </w:pPr>
            <w:r>
              <w:rPr>
                <w:color w:val="auto"/>
                <w:sz w:val="21"/>
                <w:highlight w:val="none"/>
              </w:rPr>
              <w:t>符合第二章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rFonts w:hint="eastAsia"/>
                <w:color w:val="auto"/>
                <w:sz w:val="21"/>
                <w:highlight w:val="none"/>
                <w:lang w:val="en-US"/>
              </w:rPr>
              <w:t>的</w:t>
            </w:r>
            <w:r>
              <w:rPr>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702" w:type="dxa"/>
            <w:vMerge w:val="continue"/>
            <w:tcBorders>
              <w:top w:val="nil"/>
            </w:tcBorders>
          </w:tcPr>
          <w:p>
            <w:pPr>
              <w:rPr>
                <w:color w:val="auto"/>
                <w:sz w:val="2"/>
                <w:szCs w:val="2"/>
                <w:highlight w:val="none"/>
              </w:rPr>
            </w:pPr>
          </w:p>
        </w:tc>
        <w:tc>
          <w:tcPr>
            <w:tcW w:w="1321" w:type="dxa"/>
            <w:vMerge w:val="continue"/>
            <w:tcBorders>
              <w:top w:val="nil"/>
            </w:tcBorders>
          </w:tcPr>
          <w:p>
            <w:pPr>
              <w:rPr>
                <w:color w:val="auto"/>
                <w:sz w:val="2"/>
                <w:szCs w:val="2"/>
                <w:highlight w:val="none"/>
              </w:rPr>
            </w:pPr>
          </w:p>
        </w:tc>
        <w:tc>
          <w:tcPr>
            <w:tcW w:w="2477" w:type="dxa"/>
          </w:tcPr>
          <w:p>
            <w:pPr>
              <w:pStyle w:val="39"/>
              <w:spacing w:before="145"/>
              <w:ind w:left="62" w:right="52"/>
              <w:jc w:val="center"/>
              <w:rPr>
                <w:color w:val="auto"/>
                <w:sz w:val="21"/>
                <w:highlight w:val="none"/>
              </w:rPr>
            </w:pPr>
            <w:r>
              <w:rPr>
                <w:color w:val="auto"/>
                <w:sz w:val="21"/>
                <w:highlight w:val="none"/>
              </w:rPr>
              <w:t>服务期限</w:t>
            </w:r>
          </w:p>
        </w:tc>
        <w:tc>
          <w:tcPr>
            <w:tcW w:w="4681" w:type="dxa"/>
          </w:tcPr>
          <w:p>
            <w:pPr>
              <w:pStyle w:val="39"/>
              <w:spacing w:before="145"/>
              <w:ind w:left="108"/>
              <w:rPr>
                <w:color w:val="auto"/>
                <w:sz w:val="21"/>
                <w:highlight w:val="none"/>
              </w:rPr>
            </w:pPr>
            <w:r>
              <w:rPr>
                <w:color w:val="auto"/>
                <w:sz w:val="21"/>
                <w:highlight w:val="none"/>
              </w:rPr>
              <w:t>符合第二章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rFonts w:hint="eastAsia"/>
                <w:color w:val="auto"/>
                <w:sz w:val="21"/>
                <w:highlight w:val="none"/>
                <w:lang w:val="en-US"/>
              </w:rPr>
              <w:t>的</w:t>
            </w:r>
            <w:r>
              <w:rPr>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702" w:type="dxa"/>
            <w:vMerge w:val="continue"/>
            <w:tcBorders>
              <w:top w:val="nil"/>
            </w:tcBorders>
          </w:tcPr>
          <w:p>
            <w:pPr>
              <w:rPr>
                <w:color w:val="auto"/>
                <w:sz w:val="2"/>
                <w:szCs w:val="2"/>
                <w:highlight w:val="none"/>
              </w:rPr>
            </w:pPr>
          </w:p>
        </w:tc>
        <w:tc>
          <w:tcPr>
            <w:tcW w:w="1321" w:type="dxa"/>
            <w:vMerge w:val="continue"/>
            <w:tcBorders>
              <w:top w:val="nil"/>
            </w:tcBorders>
          </w:tcPr>
          <w:p>
            <w:pPr>
              <w:rPr>
                <w:color w:val="auto"/>
                <w:sz w:val="2"/>
                <w:szCs w:val="2"/>
                <w:highlight w:val="none"/>
              </w:rPr>
            </w:pPr>
          </w:p>
        </w:tc>
        <w:tc>
          <w:tcPr>
            <w:tcW w:w="2477" w:type="dxa"/>
          </w:tcPr>
          <w:p>
            <w:pPr>
              <w:pStyle w:val="39"/>
              <w:spacing w:before="145"/>
              <w:ind w:left="63" w:right="50"/>
              <w:jc w:val="center"/>
              <w:rPr>
                <w:color w:val="auto"/>
                <w:sz w:val="21"/>
                <w:highlight w:val="none"/>
              </w:rPr>
            </w:pPr>
            <w:r>
              <w:rPr>
                <w:color w:val="auto"/>
                <w:sz w:val="21"/>
                <w:highlight w:val="none"/>
              </w:rPr>
              <w:t>投标有效期</w:t>
            </w:r>
          </w:p>
        </w:tc>
        <w:tc>
          <w:tcPr>
            <w:tcW w:w="4681" w:type="dxa"/>
          </w:tcPr>
          <w:p>
            <w:pPr>
              <w:pStyle w:val="39"/>
              <w:spacing w:before="145"/>
              <w:ind w:left="108"/>
              <w:rPr>
                <w:color w:val="auto"/>
                <w:sz w:val="21"/>
                <w:highlight w:val="none"/>
              </w:rPr>
            </w:pPr>
            <w:r>
              <w:rPr>
                <w:color w:val="auto"/>
                <w:sz w:val="21"/>
                <w:highlight w:val="none"/>
              </w:rPr>
              <w:t>符合第二章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rFonts w:hint="eastAsia"/>
                <w:color w:val="auto"/>
                <w:sz w:val="21"/>
                <w:highlight w:val="none"/>
                <w:lang w:val="en-US"/>
              </w:rPr>
              <w:t>的</w:t>
            </w:r>
            <w:r>
              <w:rPr>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702" w:type="dxa"/>
            <w:vMerge w:val="continue"/>
            <w:tcBorders>
              <w:top w:val="nil"/>
            </w:tcBorders>
          </w:tcPr>
          <w:p>
            <w:pPr>
              <w:rPr>
                <w:color w:val="auto"/>
                <w:sz w:val="2"/>
                <w:szCs w:val="2"/>
                <w:highlight w:val="none"/>
              </w:rPr>
            </w:pPr>
          </w:p>
        </w:tc>
        <w:tc>
          <w:tcPr>
            <w:tcW w:w="1321" w:type="dxa"/>
            <w:vMerge w:val="continue"/>
            <w:tcBorders>
              <w:top w:val="nil"/>
            </w:tcBorders>
          </w:tcPr>
          <w:p>
            <w:pPr>
              <w:rPr>
                <w:color w:val="auto"/>
                <w:sz w:val="2"/>
                <w:szCs w:val="2"/>
                <w:highlight w:val="none"/>
              </w:rPr>
            </w:pPr>
          </w:p>
        </w:tc>
        <w:tc>
          <w:tcPr>
            <w:tcW w:w="2477" w:type="dxa"/>
          </w:tcPr>
          <w:p>
            <w:pPr>
              <w:pStyle w:val="39"/>
              <w:spacing w:before="142"/>
              <w:ind w:left="63" w:right="50"/>
              <w:jc w:val="center"/>
              <w:rPr>
                <w:color w:val="auto"/>
                <w:sz w:val="21"/>
                <w:highlight w:val="none"/>
              </w:rPr>
            </w:pPr>
            <w:r>
              <w:rPr>
                <w:color w:val="auto"/>
                <w:sz w:val="21"/>
                <w:highlight w:val="none"/>
              </w:rPr>
              <w:t>投标保证金</w:t>
            </w:r>
          </w:p>
        </w:tc>
        <w:tc>
          <w:tcPr>
            <w:tcW w:w="4681" w:type="dxa"/>
          </w:tcPr>
          <w:p>
            <w:pPr>
              <w:pStyle w:val="39"/>
              <w:spacing w:before="142"/>
              <w:ind w:left="108"/>
              <w:rPr>
                <w:color w:val="auto"/>
                <w:sz w:val="21"/>
                <w:highlight w:val="none"/>
              </w:rPr>
            </w:pPr>
            <w:r>
              <w:rPr>
                <w:color w:val="auto"/>
                <w:sz w:val="21"/>
                <w:highlight w:val="none"/>
              </w:rPr>
              <w:t>符合第二章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rFonts w:hint="eastAsia"/>
                <w:color w:val="auto"/>
                <w:sz w:val="21"/>
                <w:highlight w:val="none"/>
                <w:lang w:val="en-US"/>
              </w:rPr>
              <w:t>的</w:t>
            </w:r>
            <w:r>
              <w:rPr>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702" w:type="dxa"/>
            <w:vMerge w:val="continue"/>
            <w:tcBorders>
              <w:top w:val="nil"/>
            </w:tcBorders>
          </w:tcPr>
          <w:p>
            <w:pPr>
              <w:rPr>
                <w:color w:val="auto"/>
                <w:sz w:val="2"/>
                <w:szCs w:val="2"/>
                <w:highlight w:val="none"/>
              </w:rPr>
            </w:pPr>
          </w:p>
        </w:tc>
        <w:tc>
          <w:tcPr>
            <w:tcW w:w="1321" w:type="dxa"/>
            <w:vMerge w:val="continue"/>
            <w:tcBorders>
              <w:top w:val="nil"/>
            </w:tcBorders>
          </w:tcPr>
          <w:p>
            <w:pPr>
              <w:rPr>
                <w:color w:val="auto"/>
                <w:sz w:val="2"/>
                <w:szCs w:val="2"/>
                <w:highlight w:val="none"/>
              </w:rPr>
            </w:pPr>
          </w:p>
        </w:tc>
        <w:tc>
          <w:tcPr>
            <w:tcW w:w="2477" w:type="dxa"/>
            <w:vAlign w:val="center"/>
          </w:tcPr>
          <w:p>
            <w:pPr>
              <w:pStyle w:val="39"/>
              <w:spacing w:before="145"/>
              <w:ind w:left="63" w:right="50"/>
              <w:jc w:val="center"/>
              <w:rPr>
                <w:color w:val="auto"/>
                <w:sz w:val="21"/>
                <w:highlight w:val="none"/>
              </w:rPr>
            </w:pPr>
            <w:r>
              <w:rPr>
                <w:color w:val="auto"/>
                <w:sz w:val="21"/>
                <w:highlight w:val="none"/>
              </w:rPr>
              <w:t>权利义务</w:t>
            </w:r>
          </w:p>
        </w:tc>
        <w:tc>
          <w:tcPr>
            <w:tcW w:w="4681" w:type="dxa"/>
            <w:vAlign w:val="center"/>
          </w:tcPr>
          <w:p>
            <w:pPr>
              <w:pStyle w:val="39"/>
              <w:spacing w:before="3" w:line="440" w:lineRule="exact"/>
              <w:ind w:left="108" w:right="95"/>
              <w:rPr>
                <w:color w:val="auto"/>
                <w:sz w:val="21"/>
                <w:highlight w:val="none"/>
              </w:rPr>
            </w:pPr>
            <w:r>
              <w:rPr>
                <w:color w:val="auto"/>
                <w:sz w:val="21"/>
                <w:highlight w:val="none"/>
              </w:rPr>
              <w:t>符合第二章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rFonts w:hint="eastAsia"/>
                <w:color w:val="auto"/>
                <w:sz w:val="21"/>
                <w:highlight w:val="none"/>
                <w:lang w:val="en-US"/>
              </w:rPr>
              <w:t>的</w:t>
            </w:r>
            <w:r>
              <w:rPr>
                <w:color w:val="auto"/>
                <w:sz w:val="21"/>
                <w:highlight w:val="none"/>
              </w:rPr>
              <w:t>规定和第四章</w:t>
            </w:r>
            <w:r>
              <w:rPr>
                <w:rFonts w:ascii="Times New Roman" w:hAnsi="Times New Roman" w:eastAsia="Times New Roman"/>
                <w:color w:val="auto"/>
                <w:sz w:val="21"/>
                <w:highlight w:val="none"/>
              </w:rPr>
              <w:t>“</w:t>
            </w:r>
            <w:r>
              <w:rPr>
                <w:color w:val="auto"/>
                <w:sz w:val="21"/>
                <w:highlight w:val="none"/>
              </w:rPr>
              <w:t>合同条款及格式</w:t>
            </w:r>
            <w:r>
              <w:rPr>
                <w:rFonts w:ascii="Times New Roman" w:hAnsi="Times New Roman" w:eastAsia="Times New Roman"/>
                <w:color w:val="auto"/>
                <w:sz w:val="21"/>
                <w:highlight w:val="none"/>
              </w:rPr>
              <w:t>”</w:t>
            </w:r>
            <w:r>
              <w:rPr>
                <w:color w:val="auto"/>
                <w:sz w:val="21"/>
                <w:highlight w:val="none"/>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702" w:type="dxa"/>
            <w:vMerge w:val="continue"/>
            <w:tcBorders>
              <w:top w:val="nil"/>
            </w:tcBorders>
          </w:tcPr>
          <w:p>
            <w:pPr>
              <w:rPr>
                <w:color w:val="auto"/>
                <w:sz w:val="2"/>
                <w:szCs w:val="2"/>
                <w:highlight w:val="none"/>
              </w:rPr>
            </w:pPr>
          </w:p>
        </w:tc>
        <w:tc>
          <w:tcPr>
            <w:tcW w:w="1321" w:type="dxa"/>
            <w:vMerge w:val="continue"/>
            <w:tcBorders>
              <w:top w:val="nil"/>
            </w:tcBorders>
          </w:tcPr>
          <w:p>
            <w:pPr>
              <w:rPr>
                <w:color w:val="auto"/>
                <w:sz w:val="2"/>
                <w:szCs w:val="2"/>
                <w:highlight w:val="none"/>
              </w:rPr>
            </w:pPr>
          </w:p>
        </w:tc>
        <w:tc>
          <w:tcPr>
            <w:tcW w:w="2477" w:type="dxa"/>
          </w:tcPr>
          <w:p>
            <w:pPr>
              <w:pStyle w:val="39"/>
              <w:spacing w:before="140"/>
              <w:ind w:left="63" w:right="50"/>
              <w:jc w:val="center"/>
              <w:rPr>
                <w:color w:val="auto"/>
                <w:sz w:val="21"/>
                <w:highlight w:val="none"/>
              </w:rPr>
            </w:pPr>
            <w:r>
              <w:rPr>
                <w:rFonts w:hint="eastAsia"/>
                <w:color w:val="auto"/>
                <w:sz w:val="21"/>
                <w:highlight w:val="none"/>
              </w:rPr>
              <w:t>发包人要求</w:t>
            </w:r>
          </w:p>
        </w:tc>
        <w:tc>
          <w:tcPr>
            <w:tcW w:w="4681" w:type="dxa"/>
          </w:tcPr>
          <w:p>
            <w:pPr>
              <w:pStyle w:val="39"/>
              <w:spacing w:before="140"/>
              <w:ind w:left="108"/>
              <w:rPr>
                <w:color w:val="auto"/>
                <w:sz w:val="21"/>
                <w:highlight w:val="none"/>
              </w:rPr>
            </w:pPr>
            <w:r>
              <w:rPr>
                <w:color w:val="auto"/>
                <w:sz w:val="21"/>
                <w:highlight w:val="none"/>
              </w:rPr>
              <w:t>符合第五章</w:t>
            </w:r>
            <w:r>
              <w:rPr>
                <w:rFonts w:ascii="Times New Roman" w:hAnsi="Times New Roman" w:eastAsia="Times New Roman"/>
                <w:color w:val="auto"/>
                <w:sz w:val="21"/>
                <w:highlight w:val="none"/>
              </w:rPr>
              <w:t>“</w:t>
            </w:r>
            <w:r>
              <w:rPr>
                <w:color w:val="auto"/>
                <w:sz w:val="21"/>
                <w:highlight w:val="none"/>
              </w:rPr>
              <w:t>发包人要求</w:t>
            </w:r>
            <w:r>
              <w:rPr>
                <w:rFonts w:ascii="Times New Roman" w:hAnsi="Times New Roman" w:eastAsia="Times New Roman"/>
                <w:color w:val="auto"/>
                <w:sz w:val="21"/>
                <w:highlight w:val="none"/>
              </w:rPr>
              <w:t>”</w:t>
            </w:r>
            <w:r>
              <w:rPr>
                <w:color w:val="auto"/>
                <w:sz w:val="21"/>
                <w:highlight w:val="none"/>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023" w:type="dxa"/>
            <w:gridSpan w:val="2"/>
          </w:tcPr>
          <w:p>
            <w:pPr>
              <w:pStyle w:val="39"/>
              <w:spacing w:before="73" w:line="348" w:lineRule="exact"/>
              <w:ind w:left="675" w:right="668"/>
              <w:jc w:val="center"/>
              <w:rPr>
                <w:rFonts w:ascii="Microsoft JhengHei" w:eastAsia="Microsoft JhengHei"/>
                <w:b/>
                <w:color w:val="auto"/>
                <w:sz w:val="21"/>
                <w:highlight w:val="none"/>
              </w:rPr>
            </w:pPr>
            <w:r>
              <w:rPr>
                <w:rFonts w:hint="eastAsia" w:ascii="Microsoft JhengHei" w:eastAsia="Microsoft JhengHei"/>
                <w:b/>
                <w:color w:val="auto"/>
                <w:sz w:val="21"/>
                <w:highlight w:val="none"/>
              </w:rPr>
              <w:t>条款号</w:t>
            </w:r>
          </w:p>
        </w:tc>
        <w:tc>
          <w:tcPr>
            <w:tcW w:w="2477" w:type="dxa"/>
          </w:tcPr>
          <w:p>
            <w:pPr>
              <w:pStyle w:val="39"/>
              <w:spacing w:before="73" w:line="348" w:lineRule="exact"/>
              <w:ind w:left="62" w:right="52"/>
              <w:jc w:val="center"/>
              <w:rPr>
                <w:rFonts w:ascii="Microsoft JhengHei" w:eastAsia="Microsoft JhengHei"/>
                <w:b/>
                <w:color w:val="auto"/>
                <w:sz w:val="21"/>
                <w:highlight w:val="none"/>
              </w:rPr>
            </w:pPr>
            <w:r>
              <w:rPr>
                <w:rFonts w:hint="eastAsia" w:ascii="Microsoft JhengHei" w:eastAsia="Microsoft JhengHei"/>
                <w:b/>
                <w:color w:val="auto"/>
                <w:sz w:val="21"/>
                <w:highlight w:val="none"/>
              </w:rPr>
              <w:t>条款内容</w:t>
            </w:r>
          </w:p>
        </w:tc>
        <w:tc>
          <w:tcPr>
            <w:tcW w:w="4681" w:type="dxa"/>
          </w:tcPr>
          <w:p>
            <w:pPr>
              <w:pStyle w:val="39"/>
              <w:spacing w:before="73" w:line="348" w:lineRule="exact"/>
              <w:ind w:left="1900" w:right="1890"/>
              <w:jc w:val="center"/>
              <w:rPr>
                <w:rFonts w:ascii="Microsoft JhengHei" w:eastAsia="Microsoft JhengHei"/>
                <w:b/>
                <w:color w:val="auto"/>
                <w:sz w:val="21"/>
                <w:highlight w:val="none"/>
              </w:rPr>
            </w:pPr>
            <w:r>
              <w:rPr>
                <w:rFonts w:hint="eastAsia" w:ascii="Microsoft JhengHei" w:eastAsia="Microsoft JhengHei"/>
                <w:b/>
                <w:color w:val="auto"/>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7" w:hRule="atLeast"/>
        </w:trPr>
        <w:tc>
          <w:tcPr>
            <w:tcW w:w="2023" w:type="dxa"/>
            <w:gridSpan w:val="2"/>
            <w:vAlign w:val="center"/>
          </w:tcPr>
          <w:p>
            <w:pPr>
              <w:pStyle w:val="39"/>
              <w:ind w:right="663"/>
              <w:jc w:val="center"/>
              <w:rPr>
                <w:rFonts w:ascii="Times New Roman"/>
                <w:color w:val="auto"/>
                <w:sz w:val="21"/>
                <w:highlight w:val="none"/>
              </w:rPr>
            </w:pPr>
            <w:r>
              <w:rPr>
                <w:rFonts w:hint="eastAsia" w:ascii="Times New Roman"/>
                <w:color w:val="auto"/>
                <w:sz w:val="21"/>
                <w:highlight w:val="none"/>
                <w:lang w:val="en-US"/>
              </w:rPr>
              <w:t xml:space="preserve">          </w:t>
            </w:r>
            <w:r>
              <w:rPr>
                <w:rFonts w:ascii="Times New Roman"/>
                <w:color w:val="auto"/>
                <w:sz w:val="21"/>
                <w:highlight w:val="none"/>
              </w:rPr>
              <w:t>2.2.1</w:t>
            </w:r>
          </w:p>
        </w:tc>
        <w:tc>
          <w:tcPr>
            <w:tcW w:w="2477" w:type="dxa"/>
            <w:vAlign w:val="center"/>
          </w:tcPr>
          <w:p>
            <w:pPr>
              <w:spacing w:line="360" w:lineRule="auto"/>
              <w:jc w:val="center"/>
              <w:rPr>
                <w:rFonts w:ascii="Times New Roman"/>
                <w:color w:val="auto"/>
                <w:sz w:val="21"/>
                <w:szCs w:val="21"/>
                <w:highlight w:val="none"/>
                <w:lang w:val="en-US"/>
              </w:rPr>
            </w:pPr>
            <w:r>
              <w:rPr>
                <w:rFonts w:ascii="Times New Roman"/>
                <w:color w:val="auto"/>
                <w:sz w:val="21"/>
                <w:szCs w:val="21"/>
                <w:highlight w:val="none"/>
                <w:lang w:val="en-US"/>
              </w:rPr>
              <w:t>分值构成</w:t>
            </w:r>
          </w:p>
          <w:p>
            <w:pPr>
              <w:spacing w:line="360" w:lineRule="auto"/>
              <w:jc w:val="center"/>
              <w:rPr>
                <w:rFonts w:ascii="Times New Roman"/>
                <w:color w:val="auto"/>
                <w:sz w:val="21"/>
                <w:szCs w:val="21"/>
                <w:highlight w:val="none"/>
                <w:lang w:val="en-US"/>
              </w:rPr>
            </w:pPr>
            <w:r>
              <w:rPr>
                <w:rFonts w:ascii="Times New Roman"/>
                <w:color w:val="auto"/>
                <w:sz w:val="21"/>
                <w:szCs w:val="21"/>
                <w:highlight w:val="none"/>
                <w:lang w:val="en-US"/>
              </w:rPr>
              <w:t>(总分 100 分)</w:t>
            </w:r>
          </w:p>
        </w:tc>
        <w:tc>
          <w:tcPr>
            <w:tcW w:w="4681" w:type="dxa"/>
            <w:vAlign w:val="center"/>
          </w:tcPr>
          <w:p>
            <w:pPr>
              <w:spacing w:line="360" w:lineRule="auto"/>
              <w:jc w:val="both"/>
              <w:rPr>
                <w:rFonts w:ascii="Times New Roman"/>
                <w:color w:val="auto"/>
                <w:sz w:val="21"/>
                <w:szCs w:val="21"/>
                <w:highlight w:val="none"/>
                <w:lang w:val="en-US"/>
              </w:rPr>
            </w:pPr>
            <w:r>
              <w:rPr>
                <w:rFonts w:hint="eastAsia" w:ascii="Times New Roman"/>
                <w:color w:val="auto"/>
                <w:sz w:val="21"/>
                <w:szCs w:val="21"/>
                <w:highlight w:val="none"/>
                <w:lang w:val="en-US"/>
              </w:rPr>
              <w:t>商务部分：</w:t>
            </w:r>
            <w:r>
              <w:rPr>
                <w:rFonts w:hint="eastAsia" w:ascii="Times New Roman"/>
                <w:color w:val="auto"/>
                <w:sz w:val="21"/>
                <w:szCs w:val="21"/>
                <w:highlight w:val="none"/>
                <w:lang w:val="en-US" w:eastAsia="zh-CN"/>
              </w:rPr>
              <w:t>35</w:t>
            </w:r>
            <w:r>
              <w:rPr>
                <w:rFonts w:hint="eastAsia" w:ascii="Times New Roman"/>
                <w:color w:val="auto"/>
                <w:sz w:val="21"/>
                <w:szCs w:val="21"/>
                <w:highlight w:val="none"/>
                <w:lang w:val="en-US"/>
              </w:rPr>
              <w:t>分</w:t>
            </w:r>
          </w:p>
          <w:p>
            <w:pPr>
              <w:spacing w:line="360" w:lineRule="auto"/>
              <w:jc w:val="both"/>
              <w:rPr>
                <w:rFonts w:ascii="Times New Roman"/>
                <w:color w:val="auto"/>
                <w:sz w:val="21"/>
                <w:szCs w:val="21"/>
                <w:highlight w:val="none"/>
                <w:lang w:val="en-US"/>
              </w:rPr>
            </w:pPr>
            <w:r>
              <w:rPr>
                <w:rFonts w:hint="eastAsia" w:ascii="Times New Roman"/>
                <w:color w:val="auto"/>
                <w:sz w:val="21"/>
                <w:szCs w:val="21"/>
                <w:highlight w:val="none"/>
                <w:lang w:val="en-US"/>
              </w:rPr>
              <w:t>服务方案：</w:t>
            </w:r>
            <w:r>
              <w:rPr>
                <w:rFonts w:hint="eastAsia" w:ascii="Times New Roman"/>
                <w:color w:val="auto"/>
                <w:sz w:val="21"/>
                <w:szCs w:val="21"/>
                <w:highlight w:val="none"/>
                <w:lang w:val="en-US" w:eastAsia="zh-CN"/>
              </w:rPr>
              <w:t>3</w:t>
            </w:r>
            <w:r>
              <w:rPr>
                <w:rFonts w:ascii="Times New Roman"/>
                <w:color w:val="auto"/>
                <w:sz w:val="21"/>
                <w:szCs w:val="21"/>
                <w:highlight w:val="none"/>
                <w:lang w:val="en-US"/>
              </w:rPr>
              <w:t>5</w:t>
            </w:r>
            <w:r>
              <w:rPr>
                <w:rFonts w:hint="eastAsia" w:ascii="Times New Roman"/>
                <w:color w:val="auto"/>
                <w:sz w:val="21"/>
                <w:szCs w:val="21"/>
                <w:highlight w:val="none"/>
                <w:lang w:val="en-US"/>
              </w:rPr>
              <w:t>分</w:t>
            </w:r>
          </w:p>
          <w:p>
            <w:pPr>
              <w:spacing w:line="360" w:lineRule="auto"/>
              <w:jc w:val="both"/>
              <w:rPr>
                <w:rFonts w:ascii="Times New Roman"/>
                <w:color w:val="auto"/>
                <w:sz w:val="21"/>
                <w:szCs w:val="21"/>
                <w:highlight w:val="none"/>
                <w:lang w:val="en-US"/>
              </w:rPr>
            </w:pPr>
            <w:r>
              <w:rPr>
                <w:rFonts w:hint="eastAsia" w:ascii="Times New Roman"/>
                <w:color w:val="auto"/>
                <w:sz w:val="21"/>
                <w:szCs w:val="21"/>
                <w:highlight w:val="none"/>
                <w:lang w:val="en-US"/>
              </w:rPr>
              <w:t>投标报价：</w:t>
            </w:r>
            <w:r>
              <w:rPr>
                <w:rFonts w:ascii="Times New Roman"/>
                <w:color w:val="auto"/>
                <w:sz w:val="21"/>
                <w:szCs w:val="21"/>
                <w:highlight w:val="none"/>
                <w:lang w:val="en-US"/>
              </w:rPr>
              <w:t>30</w:t>
            </w:r>
            <w:r>
              <w:rPr>
                <w:rFonts w:hint="eastAsia" w:ascii="Times New Roman"/>
                <w:color w:val="auto"/>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8" w:hRule="atLeast"/>
        </w:trPr>
        <w:tc>
          <w:tcPr>
            <w:tcW w:w="2023" w:type="dxa"/>
            <w:gridSpan w:val="2"/>
            <w:vAlign w:val="center"/>
          </w:tcPr>
          <w:p>
            <w:pPr>
              <w:pStyle w:val="39"/>
              <w:spacing w:before="157"/>
              <w:ind w:left="675" w:right="663"/>
              <w:jc w:val="center"/>
              <w:rPr>
                <w:rFonts w:ascii="Times New Roman"/>
                <w:color w:val="auto"/>
                <w:sz w:val="21"/>
                <w:highlight w:val="none"/>
              </w:rPr>
            </w:pPr>
            <w:r>
              <w:rPr>
                <w:rFonts w:ascii="Times New Roman"/>
                <w:color w:val="auto"/>
                <w:sz w:val="21"/>
                <w:highlight w:val="none"/>
              </w:rPr>
              <w:t>2.2.2</w:t>
            </w:r>
          </w:p>
        </w:tc>
        <w:tc>
          <w:tcPr>
            <w:tcW w:w="2477" w:type="dxa"/>
            <w:vAlign w:val="center"/>
          </w:tcPr>
          <w:p>
            <w:pPr>
              <w:pStyle w:val="39"/>
              <w:spacing w:before="143"/>
              <w:ind w:left="63" w:right="50"/>
              <w:jc w:val="center"/>
              <w:rPr>
                <w:color w:val="auto"/>
                <w:sz w:val="21"/>
                <w:highlight w:val="none"/>
              </w:rPr>
            </w:pPr>
            <w:r>
              <w:rPr>
                <w:color w:val="auto"/>
                <w:sz w:val="21"/>
                <w:highlight w:val="none"/>
              </w:rPr>
              <w:t>评标基准价计算方法</w:t>
            </w:r>
          </w:p>
        </w:tc>
        <w:tc>
          <w:tcPr>
            <w:tcW w:w="4681" w:type="dxa"/>
            <w:vAlign w:val="center"/>
          </w:tcPr>
          <w:p>
            <w:pPr>
              <w:spacing w:line="360" w:lineRule="auto"/>
              <w:jc w:val="both"/>
              <w:rPr>
                <w:rFonts w:ascii="Times New Roman"/>
                <w:color w:val="auto"/>
                <w:sz w:val="21"/>
                <w:szCs w:val="21"/>
                <w:highlight w:val="none"/>
                <w:lang w:val="en-US"/>
              </w:rPr>
            </w:pPr>
            <w:r>
              <w:rPr>
                <w:rFonts w:hint="eastAsia" w:ascii="Times New Roman"/>
                <w:color w:val="auto"/>
                <w:sz w:val="21"/>
                <w:szCs w:val="21"/>
                <w:highlight w:val="none"/>
                <w:lang w:val="en-US"/>
              </w:rPr>
              <w:t>采用有效投标报价（经初步评审合格的投标报价；报价有修正的，以修正后的价格为准）的算术平均值为评标基准价，计算公式为：</w:t>
            </w:r>
          </w:p>
          <w:p>
            <w:pPr>
              <w:spacing w:line="360" w:lineRule="auto"/>
              <w:jc w:val="both"/>
              <w:rPr>
                <w:rFonts w:ascii="Times New Roman"/>
                <w:color w:val="auto"/>
                <w:sz w:val="21"/>
                <w:szCs w:val="21"/>
                <w:highlight w:val="none"/>
                <w:lang w:val="en-US"/>
              </w:rPr>
            </w:pPr>
            <w:r>
              <w:rPr>
                <w:rFonts w:ascii="Times New Roman"/>
                <w:color w:val="auto"/>
                <w:sz w:val="21"/>
                <w:szCs w:val="21"/>
                <w:highlight w:val="none"/>
                <w:lang w:val="en-US"/>
              </w:rPr>
              <w:t>S（评标基准价）= （a1 +……+an）/n，a为有效的</w:t>
            </w:r>
            <w:r>
              <w:rPr>
                <w:rFonts w:hint="eastAsia" w:ascii="Times New Roman"/>
                <w:color w:val="auto"/>
                <w:sz w:val="21"/>
                <w:szCs w:val="21"/>
                <w:highlight w:val="none"/>
                <w:lang w:val="en-US"/>
              </w:rPr>
              <w:t>投标</w:t>
            </w:r>
            <w:r>
              <w:rPr>
                <w:rFonts w:ascii="Times New Roman"/>
                <w:color w:val="auto"/>
                <w:sz w:val="21"/>
                <w:szCs w:val="21"/>
                <w:highlight w:val="none"/>
                <w:lang w:val="en-US"/>
              </w:rPr>
              <w:t>报价。</w:t>
            </w:r>
          </w:p>
          <w:p>
            <w:pPr>
              <w:spacing w:line="360" w:lineRule="auto"/>
              <w:jc w:val="both"/>
              <w:rPr>
                <w:rFonts w:ascii="Times New Roman"/>
                <w:color w:val="auto"/>
                <w:sz w:val="21"/>
                <w:szCs w:val="21"/>
                <w:highlight w:val="none"/>
                <w:lang w:val="en-US"/>
              </w:rPr>
            </w:pPr>
            <w:r>
              <w:rPr>
                <w:rFonts w:hint="eastAsia" w:ascii="Times New Roman"/>
                <w:color w:val="auto"/>
                <w:sz w:val="21"/>
                <w:szCs w:val="21"/>
                <w:highlight w:val="none"/>
                <w:lang w:val="en-US"/>
              </w:rPr>
              <w:t>如有投标人评标价格低于最高限价的</w:t>
            </w:r>
            <w:r>
              <w:rPr>
                <w:rFonts w:ascii="Times New Roman"/>
                <w:color w:val="auto"/>
                <w:sz w:val="21"/>
                <w:szCs w:val="21"/>
                <w:highlight w:val="none"/>
                <w:lang w:val="en-US"/>
              </w:rPr>
              <w:t>85%，则不参与评标基准价的计算。</w:t>
            </w:r>
            <w:r>
              <w:rPr>
                <w:rFonts w:hint="eastAsia" w:ascii="Times New Roman"/>
                <w:color w:val="auto"/>
                <w:sz w:val="21"/>
                <w:szCs w:val="21"/>
                <w:highlight w:val="none"/>
                <w:lang w:val="en-US"/>
              </w:rPr>
              <w:t>所有投标人评标价格均低于最高限价的</w:t>
            </w:r>
            <w:r>
              <w:rPr>
                <w:rFonts w:ascii="Times New Roman"/>
                <w:color w:val="auto"/>
                <w:sz w:val="21"/>
                <w:szCs w:val="21"/>
                <w:highlight w:val="none"/>
                <w:lang w:val="en-US"/>
              </w:rPr>
              <w:t>85%</w:t>
            </w:r>
            <w:r>
              <w:rPr>
                <w:rFonts w:hint="eastAsia" w:ascii="Times New Roman"/>
                <w:color w:val="auto"/>
                <w:sz w:val="21"/>
                <w:szCs w:val="21"/>
                <w:highlight w:val="none"/>
                <w:lang w:val="en-US"/>
              </w:rPr>
              <w:t>时，评标基准价为最高限价的</w:t>
            </w:r>
            <w:r>
              <w:rPr>
                <w:rFonts w:ascii="Times New Roman"/>
                <w:color w:val="auto"/>
                <w:sz w:val="21"/>
                <w:szCs w:val="21"/>
                <w:highlight w:val="none"/>
                <w:lang w:val="en-US"/>
              </w:rPr>
              <w:t>85%</w:t>
            </w:r>
            <w:r>
              <w:rPr>
                <w:rFonts w:hint="eastAsia" w:ascii="Times New Roman"/>
                <w:color w:val="auto"/>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2" w:hRule="atLeast"/>
        </w:trPr>
        <w:tc>
          <w:tcPr>
            <w:tcW w:w="2023" w:type="dxa"/>
            <w:gridSpan w:val="2"/>
            <w:vAlign w:val="center"/>
          </w:tcPr>
          <w:p>
            <w:pPr>
              <w:pStyle w:val="39"/>
              <w:rPr>
                <w:rFonts w:ascii="Microsoft JhengHei"/>
                <w:b/>
                <w:color w:val="auto"/>
                <w:sz w:val="21"/>
                <w:highlight w:val="none"/>
              </w:rPr>
            </w:pPr>
          </w:p>
          <w:p>
            <w:pPr>
              <w:pStyle w:val="39"/>
              <w:ind w:left="675" w:right="663"/>
              <w:jc w:val="center"/>
              <w:rPr>
                <w:rFonts w:ascii="Times New Roman"/>
                <w:color w:val="auto"/>
                <w:sz w:val="21"/>
                <w:highlight w:val="none"/>
              </w:rPr>
            </w:pPr>
            <w:r>
              <w:rPr>
                <w:rFonts w:ascii="Times New Roman"/>
                <w:color w:val="auto"/>
                <w:sz w:val="21"/>
                <w:highlight w:val="none"/>
              </w:rPr>
              <w:t>2.2.3</w:t>
            </w:r>
          </w:p>
        </w:tc>
        <w:tc>
          <w:tcPr>
            <w:tcW w:w="2477" w:type="dxa"/>
            <w:vAlign w:val="center"/>
          </w:tcPr>
          <w:p>
            <w:pPr>
              <w:pStyle w:val="39"/>
              <w:spacing w:before="8" w:line="442" w:lineRule="exact"/>
              <w:ind w:left="818" w:right="383" w:hanging="420"/>
              <w:jc w:val="center"/>
              <w:rPr>
                <w:color w:val="auto"/>
                <w:sz w:val="21"/>
                <w:highlight w:val="none"/>
                <w:lang w:val="en-US"/>
              </w:rPr>
            </w:pPr>
            <w:r>
              <w:rPr>
                <w:rFonts w:hint="eastAsia"/>
                <w:color w:val="auto"/>
                <w:sz w:val="21"/>
                <w:highlight w:val="none"/>
                <w:lang w:val="en-US"/>
              </w:rPr>
              <w:t>偏差率</w:t>
            </w:r>
          </w:p>
        </w:tc>
        <w:tc>
          <w:tcPr>
            <w:tcW w:w="4681" w:type="dxa"/>
            <w:vAlign w:val="center"/>
          </w:tcPr>
          <w:p>
            <w:pPr>
              <w:spacing w:line="360" w:lineRule="auto"/>
              <w:jc w:val="both"/>
              <w:rPr>
                <w:rFonts w:hint="eastAsia"/>
                <w:color w:val="auto"/>
                <w:highlight w:val="none"/>
                <w:lang w:val="en-US"/>
              </w:rPr>
            </w:pPr>
            <w:r>
              <w:rPr>
                <w:rFonts w:hint="eastAsia"/>
                <w:color w:val="auto"/>
                <w:highlight w:val="none"/>
                <w:lang w:val="en-US"/>
              </w:rPr>
              <w:t>偏差率=100% ×（投标人投标</w:t>
            </w:r>
            <w:r>
              <w:rPr>
                <w:color w:val="auto"/>
                <w:highlight w:val="none"/>
                <w:lang w:val="en-US"/>
              </w:rPr>
              <w:t>报价</w:t>
            </w:r>
            <w:r>
              <w:rPr>
                <w:rFonts w:hint="eastAsia"/>
                <w:color w:val="auto"/>
                <w:highlight w:val="none"/>
                <w:lang w:val="en-US"/>
              </w:rPr>
              <w:t>-评标基准价）/评标基准价</w:t>
            </w:r>
          </w:p>
          <w:p>
            <w:pPr>
              <w:spacing w:line="360" w:lineRule="auto"/>
              <w:jc w:val="both"/>
              <w:rPr>
                <w:rFonts w:hint="eastAsia" w:eastAsia="宋体"/>
                <w:color w:val="auto"/>
                <w:highlight w:val="none"/>
                <w:lang w:val="en-US" w:eastAsia="zh-CN"/>
              </w:rPr>
            </w:pPr>
            <w:r>
              <w:rPr>
                <w:rFonts w:hint="eastAsia"/>
                <w:color w:val="auto"/>
                <w:highlight w:val="none"/>
                <w:lang w:val="en-US"/>
              </w:rPr>
              <w:t>投标报价偏差率计算结果保留到小数点后两位，小数点后第三位“四舍五入</w:t>
            </w:r>
            <w:r>
              <w:rPr>
                <w:rFonts w:hint="eastAsia"/>
                <w:color w:val="auto"/>
                <w:highlight w:val="none"/>
                <w:lang w:val="en-US" w:eastAsia="zh-CN"/>
              </w:rPr>
              <w:t>”。</w:t>
            </w:r>
          </w:p>
        </w:tc>
      </w:tr>
    </w:tbl>
    <w:p>
      <w:pPr>
        <w:pStyle w:val="2"/>
        <w:spacing w:before="10"/>
        <w:rPr>
          <w:rFonts w:ascii="Microsoft JhengHei"/>
          <w:b/>
          <w:color w:val="auto"/>
          <w:sz w:val="26"/>
          <w:highlight w:val="none"/>
        </w:rPr>
      </w:pPr>
    </w:p>
    <w:p>
      <w:pPr>
        <w:widowControl/>
        <w:autoSpaceDE/>
        <w:autoSpaceDN/>
        <w:rPr>
          <w:rFonts w:ascii="Microsoft JhengHei"/>
          <w:b/>
          <w:color w:val="auto"/>
          <w:sz w:val="26"/>
          <w:szCs w:val="21"/>
          <w:highlight w:val="none"/>
        </w:rPr>
      </w:pPr>
      <w:r>
        <w:rPr>
          <w:rFonts w:ascii="Microsoft JhengHei"/>
          <w:b/>
          <w:color w:val="auto"/>
          <w:sz w:val="26"/>
          <w:highlight w:val="none"/>
        </w:rPr>
        <w:br w:type="page"/>
      </w:r>
    </w:p>
    <w:p>
      <w:pPr>
        <w:pStyle w:val="2"/>
        <w:spacing w:before="10"/>
        <w:rPr>
          <w:rFonts w:ascii="Microsoft JhengHei"/>
          <w:b/>
          <w:color w:val="auto"/>
          <w:sz w:val="26"/>
          <w:highlight w:val="none"/>
        </w:rPr>
      </w:pPr>
    </w:p>
    <w:tbl>
      <w:tblPr>
        <w:tblStyle w:val="24"/>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998"/>
        <w:gridCol w:w="1279"/>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jc w:val="center"/>
        </w:trPr>
        <w:tc>
          <w:tcPr>
            <w:tcW w:w="1683" w:type="dxa"/>
            <w:gridSpan w:val="2"/>
            <w:vAlign w:val="center"/>
          </w:tcPr>
          <w:p>
            <w:pPr>
              <w:spacing w:line="360" w:lineRule="auto"/>
              <w:jc w:val="center"/>
              <w:rPr>
                <w:rFonts w:ascii="Times New Roman"/>
                <w:color w:val="auto"/>
                <w:sz w:val="21"/>
                <w:szCs w:val="21"/>
                <w:highlight w:val="none"/>
                <w:lang w:val="en-US"/>
              </w:rPr>
            </w:pPr>
            <w:r>
              <w:rPr>
                <w:rFonts w:hint="eastAsia" w:ascii="Times New Roman"/>
                <w:color w:val="auto"/>
                <w:sz w:val="21"/>
                <w:szCs w:val="21"/>
                <w:highlight w:val="none"/>
                <w:lang w:val="en-US"/>
              </w:rPr>
              <w:t>条款号</w:t>
            </w:r>
          </w:p>
        </w:tc>
        <w:tc>
          <w:tcPr>
            <w:tcW w:w="1279" w:type="dxa"/>
            <w:vAlign w:val="center"/>
          </w:tcPr>
          <w:p>
            <w:pPr>
              <w:spacing w:line="360" w:lineRule="auto"/>
              <w:jc w:val="center"/>
              <w:rPr>
                <w:rFonts w:ascii="Times New Roman"/>
                <w:color w:val="auto"/>
                <w:sz w:val="21"/>
                <w:szCs w:val="21"/>
                <w:highlight w:val="none"/>
                <w:lang w:val="en-US"/>
              </w:rPr>
            </w:pPr>
            <w:r>
              <w:rPr>
                <w:rFonts w:hint="eastAsia" w:ascii="Times New Roman"/>
                <w:color w:val="auto"/>
                <w:sz w:val="21"/>
                <w:szCs w:val="21"/>
                <w:highlight w:val="none"/>
                <w:lang w:val="en-US"/>
              </w:rPr>
              <w:t>评分因素</w:t>
            </w:r>
          </w:p>
        </w:tc>
        <w:tc>
          <w:tcPr>
            <w:tcW w:w="6138" w:type="dxa"/>
            <w:vAlign w:val="center"/>
          </w:tcPr>
          <w:p>
            <w:pPr>
              <w:spacing w:line="360" w:lineRule="auto"/>
              <w:jc w:val="center"/>
              <w:rPr>
                <w:rFonts w:ascii="Times New Roman"/>
                <w:color w:val="auto"/>
                <w:sz w:val="21"/>
                <w:szCs w:val="21"/>
                <w:highlight w:val="none"/>
                <w:lang w:val="en-US"/>
              </w:rPr>
            </w:pPr>
            <w:r>
              <w:rPr>
                <w:rFonts w:hint="eastAsia" w:ascii="Times New Roman"/>
                <w:color w:val="auto"/>
                <w:sz w:val="21"/>
                <w:szCs w:val="21"/>
                <w:highlight w:val="none"/>
                <w:lang w:val="en-US"/>
              </w:rPr>
              <w:t>评分标准</w:t>
            </w:r>
          </w:p>
        </w:tc>
      </w:tr>
      <w:tr>
        <w:trPr>
          <w:cantSplit/>
          <w:trHeight w:val="1157" w:hRule="atLeast"/>
          <w:jc w:val="center"/>
        </w:trPr>
        <w:tc>
          <w:tcPr>
            <w:tcW w:w="685" w:type="dxa"/>
            <w:vMerge w:val="restart"/>
            <w:vAlign w:val="center"/>
          </w:tcPr>
          <w:p>
            <w:pPr>
              <w:spacing w:line="360" w:lineRule="auto"/>
              <w:rPr>
                <w:color w:val="auto"/>
                <w:sz w:val="21"/>
                <w:szCs w:val="21"/>
                <w:highlight w:val="none"/>
                <w:lang w:val="en-US"/>
              </w:rPr>
            </w:pPr>
          </w:p>
          <w:p>
            <w:pPr>
              <w:spacing w:line="360" w:lineRule="auto"/>
              <w:jc w:val="center"/>
              <w:rPr>
                <w:color w:val="auto"/>
                <w:sz w:val="21"/>
                <w:szCs w:val="21"/>
                <w:highlight w:val="none"/>
                <w:lang w:val="en-US"/>
              </w:rPr>
            </w:pPr>
            <w:r>
              <w:rPr>
                <w:rFonts w:hint="eastAsia"/>
                <w:color w:val="auto"/>
                <w:sz w:val="21"/>
                <w:szCs w:val="21"/>
                <w:highlight w:val="none"/>
                <w:lang w:val="en-US"/>
              </w:rPr>
              <w:t>2.2.4</w:t>
            </w:r>
          </w:p>
          <w:p>
            <w:pPr>
              <w:spacing w:line="360" w:lineRule="auto"/>
              <w:jc w:val="center"/>
              <w:rPr>
                <w:color w:val="auto"/>
                <w:sz w:val="21"/>
                <w:szCs w:val="21"/>
                <w:highlight w:val="none"/>
                <w:lang w:val="en-US"/>
              </w:rPr>
            </w:pPr>
            <w:r>
              <w:rPr>
                <w:rFonts w:hint="eastAsia"/>
                <w:color w:val="auto"/>
                <w:sz w:val="21"/>
                <w:szCs w:val="21"/>
                <w:highlight w:val="none"/>
                <w:lang w:val="en-US"/>
              </w:rPr>
              <w:t>（1）</w:t>
            </w:r>
          </w:p>
        </w:tc>
        <w:tc>
          <w:tcPr>
            <w:tcW w:w="998" w:type="dxa"/>
            <w:vMerge w:val="restart"/>
            <w:vAlign w:val="center"/>
          </w:tcPr>
          <w:p>
            <w:pPr>
              <w:spacing w:line="360" w:lineRule="auto"/>
              <w:rPr>
                <w:color w:val="auto"/>
                <w:sz w:val="21"/>
                <w:szCs w:val="21"/>
                <w:highlight w:val="none"/>
                <w:lang w:val="en-US"/>
              </w:rPr>
            </w:pPr>
          </w:p>
          <w:p>
            <w:pPr>
              <w:spacing w:line="360" w:lineRule="auto"/>
              <w:jc w:val="center"/>
              <w:rPr>
                <w:color w:val="auto"/>
                <w:sz w:val="21"/>
                <w:szCs w:val="21"/>
                <w:highlight w:val="none"/>
                <w:lang w:val="en-US"/>
              </w:rPr>
            </w:pPr>
            <w:r>
              <w:rPr>
                <w:rFonts w:hint="eastAsia"/>
                <w:color w:val="auto"/>
                <w:sz w:val="21"/>
                <w:szCs w:val="21"/>
                <w:highlight w:val="none"/>
                <w:lang w:val="en-US"/>
              </w:rPr>
              <w:t>商务部分</w:t>
            </w:r>
          </w:p>
          <w:p>
            <w:pPr>
              <w:spacing w:line="360" w:lineRule="auto"/>
              <w:jc w:val="center"/>
              <w:rPr>
                <w:color w:val="auto"/>
                <w:sz w:val="21"/>
                <w:szCs w:val="21"/>
                <w:highlight w:val="none"/>
                <w:lang w:val="en-US"/>
              </w:rPr>
            </w:pPr>
            <w:r>
              <w:rPr>
                <w:rFonts w:hint="eastAsia"/>
                <w:color w:val="auto"/>
                <w:sz w:val="21"/>
                <w:szCs w:val="21"/>
                <w:highlight w:val="none"/>
                <w:lang w:val="en-US"/>
              </w:rPr>
              <w:t>（</w:t>
            </w:r>
            <w:r>
              <w:rPr>
                <w:rFonts w:hint="eastAsia"/>
                <w:color w:val="auto"/>
                <w:sz w:val="21"/>
                <w:szCs w:val="21"/>
                <w:highlight w:val="none"/>
                <w:lang w:val="en-US" w:eastAsia="zh-CN"/>
              </w:rPr>
              <w:t>3</w:t>
            </w:r>
            <w:r>
              <w:rPr>
                <w:color w:val="auto"/>
                <w:sz w:val="21"/>
                <w:szCs w:val="21"/>
                <w:highlight w:val="none"/>
                <w:lang w:val="en-US"/>
              </w:rPr>
              <w:t>5</w:t>
            </w:r>
            <w:r>
              <w:rPr>
                <w:rFonts w:hint="eastAsia"/>
                <w:color w:val="auto"/>
                <w:sz w:val="21"/>
                <w:szCs w:val="21"/>
                <w:highlight w:val="none"/>
                <w:lang w:val="en-US"/>
              </w:rPr>
              <w:t>分）</w:t>
            </w:r>
          </w:p>
        </w:tc>
        <w:tc>
          <w:tcPr>
            <w:tcW w:w="1279" w:type="dxa"/>
            <w:vAlign w:val="center"/>
          </w:tcPr>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认证情况</w:t>
            </w:r>
          </w:p>
          <w:p>
            <w:pPr>
              <w:spacing w:line="360" w:lineRule="auto"/>
              <w:jc w:val="center"/>
              <w:rPr>
                <w:color w:val="auto"/>
                <w:sz w:val="21"/>
                <w:szCs w:val="21"/>
                <w:highlight w:val="none"/>
                <w:lang w:val="en-US"/>
              </w:rPr>
            </w:pPr>
            <w:r>
              <w:rPr>
                <w:rFonts w:hint="eastAsia"/>
                <w:color w:val="auto"/>
                <w:sz w:val="21"/>
                <w:szCs w:val="21"/>
                <w:highlight w:val="none"/>
                <w:lang w:val="en-US"/>
              </w:rPr>
              <w:t>（</w:t>
            </w:r>
            <w:r>
              <w:rPr>
                <w:color w:val="auto"/>
                <w:sz w:val="21"/>
                <w:szCs w:val="21"/>
                <w:highlight w:val="none"/>
                <w:lang w:val="en-US"/>
              </w:rPr>
              <w:t>1</w:t>
            </w:r>
            <w:r>
              <w:rPr>
                <w:rFonts w:hint="eastAsia"/>
                <w:color w:val="auto"/>
                <w:sz w:val="21"/>
                <w:szCs w:val="21"/>
                <w:highlight w:val="none"/>
                <w:lang w:val="en-US" w:eastAsia="zh-CN"/>
              </w:rPr>
              <w:t>5</w:t>
            </w:r>
            <w:r>
              <w:rPr>
                <w:rFonts w:hint="eastAsia"/>
                <w:color w:val="auto"/>
                <w:sz w:val="21"/>
                <w:szCs w:val="21"/>
                <w:highlight w:val="none"/>
                <w:lang w:val="en-US"/>
              </w:rPr>
              <w:t>分）</w:t>
            </w:r>
          </w:p>
        </w:tc>
        <w:tc>
          <w:tcPr>
            <w:tcW w:w="6138" w:type="dxa"/>
            <w:vAlign w:val="center"/>
          </w:tcPr>
          <w:p>
            <w:pPr>
              <w:pStyle w:val="14"/>
              <w:spacing w:line="336" w:lineRule="auto"/>
              <w:rPr>
                <w:rFonts w:hAnsi="宋体"/>
                <w:color w:val="auto"/>
                <w:sz w:val="21"/>
                <w:highlight w:val="none"/>
                <w:lang w:val="en-US"/>
              </w:rPr>
            </w:pPr>
            <w:r>
              <w:rPr>
                <w:rFonts w:hint="eastAsia" w:hAnsi="宋体"/>
                <w:color w:val="auto"/>
                <w:sz w:val="21"/>
                <w:highlight w:val="none"/>
                <w:lang w:val="en-US"/>
              </w:rPr>
              <w:t>具有在有效期内的质量管理体系认证证书的得</w:t>
            </w:r>
            <w:r>
              <w:rPr>
                <w:rFonts w:hAnsi="宋体"/>
                <w:color w:val="auto"/>
                <w:sz w:val="21"/>
                <w:highlight w:val="none"/>
                <w:lang w:val="en-US"/>
              </w:rPr>
              <w:t>5</w:t>
            </w:r>
            <w:r>
              <w:rPr>
                <w:rFonts w:hint="eastAsia" w:hAnsi="宋体"/>
                <w:color w:val="auto"/>
                <w:sz w:val="21"/>
                <w:highlight w:val="none"/>
                <w:lang w:val="en-US"/>
              </w:rPr>
              <w:t>分。</w:t>
            </w:r>
          </w:p>
          <w:p>
            <w:pPr>
              <w:pStyle w:val="14"/>
              <w:spacing w:line="336" w:lineRule="auto"/>
              <w:rPr>
                <w:rFonts w:hAnsi="宋体"/>
                <w:color w:val="auto"/>
                <w:sz w:val="21"/>
                <w:highlight w:val="none"/>
                <w:lang w:val="en-US"/>
              </w:rPr>
            </w:pPr>
            <w:r>
              <w:rPr>
                <w:rFonts w:hint="eastAsia" w:hAnsi="宋体"/>
                <w:color w:val="auto"/>
                <w:sz w:val="21"/>
                <w:highlight w:val="none"/>
                <w:lang w:val="en-US"/>
              </w:rPr>
              <w:t>具有在有效期内的职业健康安全管理体系认证证书的得</w:t>
            </w:r>
            <w:r>
              <w:rPr>
                <w:rFonts w:hint="eastAsia" w:hAnsi="宋体"/>
                <w:color w:val="auto"/>
                <w:sz w:val="21"/>
                <w:highlight w:val="none"/>
                <w:lang w:val="en-US" w:eastAsia="zh-CN"/>
              </w:rPr>
              <w:t>5</w:t>
            </w:r>
            <w:r>
              <w:rPr>
                <w:rFonts w:hint="eastAsia" w:hAnsi="宋体"/>
                <w:color w:val="auto"/>
                <w:sz w:val="21"/>
                <w:highlight w:val="none"/>
                <w:lang w:val="en-US"/>
              </w:rPr>
              <w:t>分。</w:t>
            </w:r>
          </w:p>
          <w:p>
            <w:pPr>
              <w:spacing w:line="360" w:lineRule="auto"/>
              <w:jc w:val="both"/>
              <w:rPr>
                <w:color w:val="auto"/>
                <w:sz w:val="21"/>
                <w:szCs w:val="21"/>
                <w:highlight w:val="none"/>
                <w:lang w:val="en-US"/>
              </w:rPr>
            </w:pPr>
            <w:r>
              <w:rPr>
                <w:rFonts w:hint="eastAsia"/>
                <w:color w:val="auto"/>
                <w:sz w:val="21"/>
                <w:szCs w:val="21"/>
                <w:highlight w:val="none"/>
                <w:lang w:val="en-US"/>
              </w:rPr>
              <w:t>具有在有效期内的环境管理体系认证证书的得</w:t>
            </w:r>
            <w:r>
              <w:rPr>
                <w:rFonts w:hint="eastAsia"/>
                <w:color w:val="auto"/>
                <w:sz w:val="21"/>
                <w:szCs w:val="21"/>
                <w:highlight w:val="none"/>
                <w:lang w:val="en-US" w:eastAsia="zh-CN"/>
              </w:rPr>
              <w:t>5</w:t>
            </w:r>
            <w:r>
              <w:rPr>
                <w:rFonts w:hint="eastAsia"/>
                <w:color w:val="auto"/>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5" w:hRule="atLeast"/>
          <w:jc w:val="center"/>
        </w:trPr>
        <w:tc>
          <w:tcPr>
            <w:tcW w:w="685" w:type="dxa"/>
            <w:vMerge w:val="continue"/>
            <w:vAlign w:val="center"/>
          </w:tcPr>
          <w:p>
            <w:pPr>
              <w:spacing w:line="360" w:lineRule="auto"/>
              <w:jc w:val="center"/>
              <w:rPr>
                <w:color w:val="auto"/>
                <w:sz w:val="21"/>
                <w:szCs w:val="21"/>
                <w:highlight w:val="none"/>
                <w:lang w:val="en-US"/>
              </w:rPr>
            </w:pPr>
          </w:p>
        </w:tc>
        <w:tc>
          <w:tcPr>
            <w:tcW w:w="998" w:type="dxa"/>
            <w:vMerge w:val="continue"/>
            <w:vAlign w:val="center"/>
          </w:tcPr>
          <w:p>
            <w:pPr>
              <w:spacing w:line="360" w:lineRule="auto"/>
              <w:jc w:val="center"/>
              <w:rPr>
                <w:color w:val="auto"/>
                <w:sz w:val="21"/>
                <w:szCs w:val="21"/>
                <w:highlight w:val="none"/>
                <w:lang w:val="en-US"/>
              </w:rPr>
            </w:pPr>
          </w:p>
        </w:tc>
        <w:tc>
          <w:tcPr>
            <w:tcW w:w="1279" w:type="dxa"/>
            <w:vAlign w:val="center"/>
          </w:tcPr>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物业业绩</w:t>
            </w:r>
          </w:p>
          <w:p>
            <w:pPr>
              <w:pStyle w:val="35"/>
              <w:ind w:firstLine="210" w:firstLineChars="100"/>
              <w:rPr>
                <w:color w:val="auto"/>
                <w:sz w:val="21"/>
                <w:highlight w:val="none"/>
                <w:lang w:val="en-US"/>
              </w:rPr>
            </w:pPr>
            <w:r>
              <w:rPr>
                <w:rFonts w:hint="eastAsia"/>
                <w:color w:val="auto"/>
                <w:sz w:val="21"/>
                <w:highlight w:val="none"/>
                <w:lang w:val="en-US"/>
              </w:rPr>
              <w:t>（</w:t>
            </w:r>
            <w:r>
              <w:rPr>
                <w:rFonts w:hint="eastAsia"/>
                <w:color w:val="auto"/>
                <w:sz w:val="21"/>
                <w:highlight w:val="none"/>
                <w:lang w:val="en-US" w:eastAsia="zh-CN"/>
              </w:rPr>
              <w:t>20</w:t>
            </w:r>
            <w:r>
              <w:rPr>
                <w:rFonts w:hint="eastAsia"/>
                <w:color w:val="auto"/>
                <w:sz w:val="21"/>
                <w:highlight w:val="none"/>
                <w:lang w:val="en-US"/>
              </w:rPr>
              <w:t>分）</w:t>
            </w:r>
          </w:p>
        </w:tc>
        <w:tc>
          <w:tcPr>
            <w:tcW w:w="6138" w:type="dxa"/>
            <w:vAlign w:val="center"/>
          </w:tcPr>
          <w:p>
            <w:pPr>
              <w:pStyle w:val="14"/>
              <w:spacing w:line="336" w:lineRule="auto"/>
              <w:rPr>
                <w:rFonts w:hAnsi="宋体"/>
                <w:color w:val="auto"/>
                <w:sz w:val="21"/>
                <w:highlight w:val="none"/>
                <w:lang w:val="en-US"/>
              </w:rPr>
            </w:pPr>
            <w:r>
              <w:rPr>
                <w:rFonts w:hint="eastAsia" w:hAnsi="宋体"/>
                <w:color w:val="auto"/>
                <w:sz w:val="21"/>
                <w:highlight w:val="none"/>
                <w:lang w:val="en-US" w:eastAsia="zh-CN"/>
              </w:rPr>
              <w:t>投标人每具有</w:t>
            </w:r>
            <w:r>
              <w:rPr>
                <w:rFonts w:hint="eastAsia" w:hAnsi="宋体"/>
                <w:color w:val="auto"/>
                <w:sz w:val="21"/>
                <w:highlight w:val="none"/>
                <w:lang w:val="en-US"/>
              </w:rPr>
              <w:t>1个类似</w:t>
            </w:r>
            <w:r>
              <w:rPr>
                <w:rFonts w:hint="eastAsia" w:hAnsi="宋体"/>
                <w:color w:val="auto"/>
                <w:sz w:val="21"/>
                <w:highlight w:val="none"/>
                <w:lang w:val="en-US" w:eastAsia="zh-CN"/>
              </w:rPr>
              <w:t>项目</w:t>
            </w:r>
            <w:r>
              <w:rPr>
                <w:rFonts w:hint="eastAsia" w:hAnsi="宋体"/>
                <w:color w:val="auto"/>
                <w:sz w:val="21"/>
                <w:highlight w:val="none"/>
                <w:lang w:val="en-US"/>
              </w:rPr>
              <w:t>业绩</w:t>
            </w:r>
            <w:r>
              <w:rPr>
                <w:rFonts w:hint="eastAsia" w:hAnsi="宋体"/>
                <w:color w:val="auto"/>
                <w:sz w:val="21"/>
                <w:highlight w:val="none"/>
                <w:lang w:val="en-US" w:eastAsia="zh-CN"/>
              </w:rPr>
              <w:t>得10</w:t>
            </w:r>
            <w:r>
              <w:rPr>
                <w:rFonts w:hint="eastAsia" w:hAnsi="宋体"/>
                <w:color w:val="auto"/>
                <w:sz w:val="21"/>
                <w:highlight w:val="none"/>
                <w:lang w:val="en-US"/>
              </w:rPr>
              <w:t>分，本项最多得</w:t>
            </w:r>
            <w:r>
              <w:rPr>
                <w:rFonts w:hint="eastAsia" w:hAnsi="宋体"/>
                <w:color w:val="auto"/>
                <w:sz w:val="21"/>
                <w:highlight w:val="none"/>
                <w:lang w:val="en-US" w:eastAsia="zh-CN"/>
              </w:rPr>
              <w:t>20</w:t>
            </w:r>
            <w:r>
              <w:rPr>
                <w:rFonts w:hint="eastAsia" w:hAnsi="宋体"/>
                <w:color w:val="auto"/>
                <w:sz w:val="21"/>
                <w:highlight w:val="none"/>
                <w:lang w:val="en-US"/>
              </w:rPr>
              <w:t>分。</w:t>
            </w:r>
          </w:p>
          <w:p>
            <w:pPr>
              <w:pStyle w:val="14"/>
              <w:spacing w:line="336" w:lineRule="auto"/>
              <w:rPr>
                <w:rFonts w:hAnsi="宋体"/>
                <w:color w:val="auto"/>
                <w:sz w:val="21"/>
                <w:highlight w:val="none"/>
                <w:lang w:val="en-US"/>
              </w:rPr>
            </w:pPr>
            <w:r>
              <w:rPr>
                <w:rFonts w:hint="eastAsia" w:hAnsi="宋体"/>
                <w:color w:val="auto"/>
                <w:sz w:val="21"/>
                <w:highlight w:val="none"/>
                <w:lang w:val="en-US"/>
              </w:rPr>
              <w:t>类似</w:t>
            </w:r>
            <w:r>
              <w:rPr>
                <w:rFonts w:hint="eastAsia" w:hAnsi="宋体"/>
                <w:color w:val="auto"/>
                <w:sz w:val="21"/>
                <w:highlight w:val="none"/>
                <w:lang w:val="en-US" w:eastAsia="zh-CN"/>
              </w:rPr>
              <w:t>项目</w:t>
            </w:r>
            <w:r>
              <w:rPr>
                <w:rFonts w:hint="eastAsia" w:hAnsi="宋体"/>
                <w:color w:val="auto"/>
                <w:sz w:val="21"/>
                <w:highlight w:val="none"/>
                <w:lang w:val="en-US"/>
              </w:rPr>
              <w:t>业绩是指：</w:t>
            </w:r>
            <w:r>
              <w:rPr>
                <w:rFonts w:hAnsi="宋体"/>
                <w:color w:val="auto"/>
                <w:sz w:val="21"/>
                <w:highlight w:val="none"/>
                <w:lang w:val="en-US"/>
              </w:rPr>
              <w:t>201</w:t>
            </w:r>
            <w:r>
              <w:rPr>
                <w:rFonts w:hint="eastAsia" w:hAnsi="宋体"/>
                <w:color w:val="auto"/>
                <w:sz w:val="21"/>
                <w:highlight w:val="none"/>
                <w:lang w:val="en-US" w:eastAsia="zh-CN"/>
              </w:rPr>
              <w:t>9</w:t>
            </w:r>
            <w:r>
              <w:rPr>
                <w:rFonts w:hAnsi="宋体"/>
                <w:color w:val="auto"/>
                <w:sz w:val="21"/>
                <w:highlight w:val="none"/>
                <w:lang w:val="en-US"/>
              </w:rPr>
              <w:t>年1月1日至今，单个合同额100万元及以上物业管理业绩（合同年限为多年的，每年合同额不低于100万元，合同年限为多年的视为一个业绩。以合同协议书中开始履约时间为准，合同协议书不能证明以上信息的，应附业主加盖公章的证明材料）</w:t>
            </w:r>
            <w:r>
              <w:rPr>
                <w:rFonts w:hint="eastAsia" w:hAnsi="宋体"/>
                <w:color w:val="auto"/>
                <w:sz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jc w:val="center"/>
        </w:trPr>
        <w:tc>
          <w:tcPr>
            <w:tcW w:w="685" w:type="dxa"/>
            <w:vMerge w:val="restart"/>
            <w:vAlign w:val="center"/>
          </w:tcPr>
          <w:p>
            <w:pPr>
              <w:spacing w:line="360" w:lineRule="auto"/>
              <w:jc w:val="center"/>
              <w:rPr>
                <w:color w:val="auto"/>
                <w:sz w:val="21"/>
                <w:szCs w:val="21"/>
                <w:highlight w:val="none"/>
                <w:lang w:val="en-US"/>
              </w:rPr>
            </w:pPr>
          </w:p>
          <w:p>
            <w:pPr>
              <w:spacing w:line="360" w:lineRule="auto"/>
              <w:rPr>
                <w:color w:val="auto"/>
                <w:sz w:val="21"/>
                <w:szCs w:val="21"/>
                <w:highlight w:val="none"/>
                <w:lang w:val="en-US"/>
              </w:rPr>
            </w:pPr>
          </w:p>
          <w:p>
            <w:pPr>
              <w:spacing w:line="360" w:lineRule="auto"/>
              <w:jc w:val="center"/>
              <w:rPr>
                <w:color w:val="auto"/>
                <w:sz w:val="21"/>
                <w:szCs w:val="21"/>
                <w:highlight w:val="none"/>
                <w:lang w:val="en-US"/>
              </w:rPr>
            </w:pPr>
            <w:r>
              <w:rPr>
                <w:rFonts w:hint="eastAsia"/>
                <w:color w:val="auto"/>
                <w:sz w:val="21"/>
                <w:szCs w:val="21"/>
                <w:highlight w:val="none"/>
                <w:lang w:val="en-US"/>
              </w:rPr>
              <w:t>2.2.4</w:t>
            </w:r>
          </w:p>
          <w:p>
            <w:pPr>
              <w:spacing w:line="360" w:lineRule="auto"/>
              <w:jc w:val="center"/>
              <w:rPr>
                <w:color w:val="auto"/>
                <w:sz w:val="21"/>
                <w:szCs w:val="21"/>
                <w:highlight w:val="none"/>
                <w:lang w:val="en-US"/>
              </w:rPr>
            </w:pPr>
            <w:r>
              <w:rPr>
                <w:rFonts w:hint="eastAsia"/>
                <w:color w:val="auto"/>
                <w:sz w:val="21"/>
                <w:szCs w:val="21"/>
                <w:highlight w:val="none"/>
                <w:lang w:val="en-US"/>
              </w:rPr>
              <w:t>（2）</w:t>
            </w:r>
          </w:p>
        </w:tc>
        <w:tc>
          <w:tcPr>
            <w:tcW w:w="998" w:type="dxa"/>
            <w:vMerge w:val="restart"/>
            <w:tcBorders>
              <w:right w:val="single" w:color="auto" w:sz="4" w:space="0"/>
            </w:tcBorders>
            <w:vAlign w:val="center"/>
          </w:tcPr>
          <w:p>
            <w:pPr>
              <w:pStyle w:val="14"/>
              <w:adjustRightInd w:val="0"/>
              <w:snapToGrid w:val="0"/>
              <w:jc w:val="center"/>
              <w:rPr>
                <w:rFonts w:hAnsi="宋体"/>
                <w:color w:val="auto"/>
                <w:sz w:val="21"/>
                <w:highlight w:val="none"/>
                <w:lang w:val="en-US"/>
              </w:rPr>
            </w:pPr>
          </w:p>
          <w:p>
            <w:pPr>
              <w:pStyle w:val="14"/>
              <w:adjustRightInd w:val="0"/>
              <w:snapToGrid w:val="0"/>
              <w:jc w:val="center"/>
              <w:rPr>
                <w:rFonts w:hAnsi="宋体"/>
                <w:color w:val="auto"/>
                <w:sz w:val="21"/>
                <w:highlight w:val="none"/>
                <w:lang w:val="en-US"/>
              </w:rPr>
            </w:pPr>
          </w:p>
          <w:p>
            <w:pPr>
              <w:pStyle w:val="14"/>
              <w:adjustRightInd w:val="0"/>
              <w:snapToGrid w:val="0"/>
              <w:jc w:val="center"/>
              <w:rPr>
                <w:rFonts w:hAnsi="宋体"/>
                <w:color w:val="auto"/>
                <w:sz w:val="21"/>
                <w:highlight w:val="none"/>
                <w:lang w:val="en-US"/>
              </w:rPr>
            </w:pPr>
          </w:p>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服务方案（</w:t>
            </w:r>
            <w:r>
              <w:rPr>
                <w:rFonts w:hint="eastAsia" w:hAnsi="宋体"/>
                <w:color w:val="auto"/>
                <w:sz w:val="21"/>
                <w:highlight w:val="none"/>
                <w:lang w:val="en-US" w:eastAsia="zh-CN"/>
              </w:rPr>
              <w:t>3</w:t>
            </w:r>
            <w:r>
              <w:rPr>
                <w:rFonts w:hAnsi="宋体"/>
                <w:color w:val="auto"/>
                <w:sz w:val="21"/>
                <w:highlight w:val="none"/>
                <w:lang w:val="en-US"/>
              </w:rPr>
              <w:t>5</w:t>
            </w:r>
            <w:r>
              <w:rPr>
                <w:rFonts w:hint="eastAsia" w:hAnsi="宋体"/>
                <w:color w:val="auto"/>
                <w:sz w:val="21"/>
                <w:highlight w:val="none"/>
                <w:lang w:val="en-US"/>
              </w:rPr>
              <w:t>分）</w:t>
            </w:r>
          </w:p>
        </w:tc>
        <w:tc>
          <w:tcPr>
            <w:tcW w:w="1279" w:type="dxa"/>
            <w:tcBorders>
              <w:left w:val="single" w:color="auto" w:sz="4" w:space="0"/>
              <w:bottom w:val="single" w:color="auto" w:sz="4" w:space="0"/>
            </w:tcBorders>
            <w:vAlign w:val="center"/>
          </w:tcPr>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服务理念和目标</w:t>
            </w:r>
          </w:p>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(5分)</w:t>
            </w:r>
          </w:p>
        </w:tc>
        <w:tc>
          <w:tcPr>
            <w:tcW w:w="6138" w:type="dxa"/>
            <w:tcBorders>
              <w:bottom w:val="single" w:color="auto" w:sz="4" w:space="0"/>
            </w:tcBorders>
            <w:vAlign w:val="center"/>
          </w:tcPr>
          <w:p>
            <w:pPr>
              <w:pStyle w:val="14"/>
              <w:adjustRightInd w:val="0"/>
              <w:snapToGrid w:val="0"/>
              <w:jc w:val="left"/>
              <w:rPr>
                <w:rFonts w:hAnsi="宋体"/>
                <w:color w:val="auto"/>
                <w:sz w:val="21"/>
                <w:highlight w:val="none"/>
                <w:lang w:val="en-US"/>
              </w:rPr>
            </w:pPr>
            <w:r>
              <w:rPr>
                <w:rFonts w:hint="eastAsia" w:hAnsi="宋体"/>
                <w:color w:val="auto"/>
                <w:sz w:val="21"/>
                <w:highlight w:val="none"/>
                <w:lang w:val="en-US"/>
              </w:rPr>
              <w:t>有管理服务理念和目标描述得</w:t>
            </w:r>
            <w:r>
              <w:rPr>
                <w:rFonts w:hAnsi="宋体"/>
                <w:color w:val="auto"/>
                <w:sz w:val="21"/>
                <w:highlight w:val="none"/>
                <w:lang w:val="en-US"/>
              </w:rPr>
              <w:t>3</w:t>
            </w:r>
            <w:r>
              <w:rPr>
                <w:rFonts w:hint="eastAsia" w:hAnsi="宋体"/>
                <w:color w:val="auto"/>
                <w:sz w:val="21"/>
                <w:highlight w:val="none"/>
                <w:lang w:val="en-US"/>
              </w:rPr>
              <w:t>-</w:t>
            </w:r>
            <w:r>
              <w:rPr>
                <w:rFonts w:hAnsi="宋体"/>
                <w:color w:val="auto"/>
                <w:sz w:val="21"/>
                <w:highlight w:val="none"/>
                <w:lang w:val="en-US"/>
              </w:rPr>
              <w:t>3.7</w:t>
            </w:r>
            <w:r>
              <w:rPr>
                <w:rFonts w:hint="eastAsia" w:hAnsi="宋体"/>
                <w:color w:val="auto"/>
                <w:sz w:val="21"/>
                <w:highlight w:val="none"/>
                <w:lang w:val="en-US"/>
              </w:rPr>
              <w:t>分；对项目进行了分析，并进行了有针对性的策划得</w:t>
            </w:r>
            <w:r>
              <w:rPr>
                <w:rFonts w:hAnsi="宋体"/>
                <w:color w:val="auto"/>
                <w:sz w:val="21"/>
                <w:highlight w:val="none"/>
                <w:lang w:val="en-US"/>
              </w:rPr>
              <w:t>3.8</w:t>
            </w:r>
            <w:r>
              <w:rPr>
                <w:rFonts w:hint="eastAsia" w:hAnsi="宋体"/>
                <w:color w:val="auto"/>
                <w:sz w:val="21"/>
                <w:highlight w:val="none"/>
                <w:lang w:val="en-US"/>
              </w:rPr>
              <w:t>－</w:t>
            </w:r>
            <w:r>
              <w:rPr>
                <w:rFonts w:hAnsi="宋体"/>
                <w:color w:val="auto"/>
                <w:sz w:val="21"/>
                <w:highlight w:val="none"/>
                <w:lang w:val="en-US"/>
              </w:rPr>
              <w:t>4</w:t>
            </w:r>
            <w:r>
              <w:rPr>
                <w:rFonts w:hint="eastAsia" w:hAnsi="宋体"/>
                <w:color w:val="auto"/>
                <w:sz w:val="21"/>
                <w:highlight w:val="none"/>
                <w:lang w:val="en-US"/>
              </w:rPr>
              <w:t>.</w:t>
            </w:r>
            <w:r>
              <w:rPr>
                <w:rFonts w:hAnsi="宋体"/>
                <w:color w:val="auto"/>
                <w:sz w:val="21"/>
                <w:highlight w:val="none"/>
                <w:lang w:val="en-US"/>
              </w:rPr>
              <w:t>5</w:t>
            </w:r>
            <w:r>
              <w:rPr>
                <w:rFonts w:hint="eastAsia" w:hAnsi="宋体"/>
                <w:color w:val="auto"/>
                <w:sz w:val="21"/>
                <w:highlight w:val="none"/>
                <w:lang w:val="en-US"/>
              </w:rPr>
              <w:t>分；策划定位准确，管理服务理念和制定的目标完全能够满足项目需求得</w:t>
            </w:r>
            <w:r>
              <w:rPr>
                <w:rFonts w:hAnsi="宋体"/>
                <w:color w:val="auto"/>
                <w:sz w:val="21"/>
                <w:highlight w:val="none"/>
                <w:lang w:val="en-US"/>
              </w:rPr>
              <w:t>4.6</w:t>
            </w:r>
            <w:r>
              <w:rPr>
                <w:rFonts w:hint="eastAsia" w:hAnsi="宋体"/>
                <w:color w:val="auto"/>
                <w:sz w:val="21"/>
                <w:highlight w:val="none"/>
                <w:lang w:val="en-US"/>
              </w:rPr>
              <w:t>-5分。无此项内容不得分。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2" w:hRule="atLeast"/>
          <w:jc w:val="center"/>
        </w:trPr>
        <w:tc>
          <w:tcPr>
            <w:tcW w:w="685" w:type="dxa"/>
            <w:vMerge w:val="continue"/>
            <w:tcBorders>
              <w:top w:val="nil"/>
            </w:tcBorders>
            <w:vAlign w:val="center"/>
          </w:tcPr>
          <w:p>
            <w:pPr>
              <w:spacing w:line="360" w:lineRule="auto"/>
              <w:jc w:val="center"/>
              <w:rPr>
                <w:color w:val="auto"/>
                <w:sz w:val="21"/>
                <w:szCs w:val="21"/>
                <w:highlight w:val="none"/>
                <w:lang w:val="en-US"/>
              </w:rPr>
            </w:pPr>
          </w:p>
        </w:tc>
        <w:tc>
          <w:tcPr>
            <w:tcW w:w="998" w:type="dxa"/>
            <w:vMerge w:val="continue"/>
            <w:tcBorders>
              <w:top w:val="nil"/>
              <w:right w:val="single" w:color="auto" w:sz="4" w:space="0"/>
            </w:tcBorders>
            <w:vAlign w:val="center"/>
          </w:tcPr>
          <w:p>
            <w:pPr>
              <w:pStyle w:val="14"/>
              <w:adjustRightInd w:val="0"/>
              <w:snapToGrid w:val="0"/>
              <w:jc w:val="center"/>
              <w:rPr>
                <w:rFonts w:hAnsi="宋体"/>
                <w:color w:val="auto"/>
                <w:sz w:val="21"/>
                <w:highlight w:val="none"/>
                <w:lang w:val="en-US"/>
              </w:rPr>
            </w:pPr>
          </w:p>
        </w:tc>
        <w:tc>
          <w:tcPr>
            <w:tcW w:w="1279" w:type="dxa"/>
            <w:tcBorders>
              <w:top w:val="single" w:color="auto" w:sz="4" w:space="0"/>
              <w:left w:val="single" w:color="auto" w:sz="4" w:space="0"/>
              <w:bottom w:val="single" w:color="auto" w:sz="4" w:space="0"/>
            </w:tcBorders>
            <w:vAlign w:val="center"/>
          </w:tcPr>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管理服务人员配置</w:t>
            </w:r>
          </w:p>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(10分)</w:t>
            </w:r>
          </w:p>
        </w:tc>
        <w:tc>
          <w:tcPr>
            <w:tcW w:w="6138" w:type="dxa"/>
            <w:tcBorders>
              <w:top w:val="single" w:color="auto" w:sz="4" w:space="0"/>
            </w:tcBorders>
            <w:vAlign w:val="center"/>
          </w:tcPr>
          <w:p>
            <w:pPr>
              <w:pStyle w:val="14"/>
              <w:adjustRightInd w:val="0"/>
              <w:snapToGrid w:val="0"/>
              <w:jc w:val="left"/>
              <w:rPr>
                <w:rFonts w:hAnsi="宋体"/>
                <w:color w:val="auto"/>
                <w:sz w:val="21"/>
                <w:highlight w:val="none"/>
                <w:lang w:val="en-US"/>
              </w:rPr>
            </w:pPr>
            <w:r>
              <w:rPr>
                <w:rFonts w:hint="eastAsia" w:hAnsi="宋体"/>
                <w:color w:val="auto"/>
                <w:sz w:val="21"/>
                <w:highlight w:val="none"/>
                <w:lang w:val="en-US"/>
              </w:rPr>
              <w:t>人员设置基本满足要求得</w:t>
            </w:r>
            <w:r>
              <w:rPr>
                <w:rFonts w:hint="eastAsia" w:hAnsi="宋体"/>
                <w:color w:val="auto"/>
                <w:sz w:val="21"/>
                <w:highlight w:val="none"/>
                <w:lang w:val="en-US" w:eastAsia="zh-CN"/>
              </w:rPr>
              <w:t>7</w:t>
            </w:r>
            <w:r>
              <w:rPr>
                <w:rFonts w:hint="eastAsia" w:hAnsi="宋体"/>
                <w:color w:val="auto"/>
                <w:sz w:val="21"/>
                <w:highlight w:val="none"/>
                <w:lang w:val="en-US"/>
              </w:rPr>
              <w:t>-</w:t>
            </w:r>
            <w:r>
              <w:rPr>
                <w:rFonts w:hAnsi="宋体"/>
                <w:color w:val="auto"/>
                <w:sz w:val="21"/>
                <w:highlight w:val="none"/>
                <w:lang w:val="en-US"/>
              </w:rPr>
              <w:t>7.9</w:t>
            </w:r>
            <w:r>
              <w:rPr>
                <w:rFonts w:hint="eastAsia" w:hAnsi="宋体"/>
                <w:color w:val="auto"/>
                <w:sz w:val="21"/>
                <w:highlight w:val="none"/>
                <w:lang w:val="en-US"/>
              </w:rPr>
              <w:t xml:space="preserve">分；人员设置较合理得 </w:t>
            </w:r>
            <w:r>
              <w:rPr>
                <w:rFonts w:hAnsi="宋体"/>
                <w:color w:val="auto"/>
                <w:sz w:val="21"/>
                <w:highlight w:val="none"/>
                <w:lang w:val="en-US"/>
              </w:rPr>
              <w:t>8</w:t>
            </w:r>
            <w:r>
              <w:rPr>
                <w:rFonts w:hint="eastAsia" w:hAnsi="宋体"/>
                <w:color w:val="auto"/>
                <w:sz w:val="21"/>
                <w:highlight w:val="none"/>
                <w:lang w:val="en-US"/>
              </w:rPr>
              <w:t>-</w:t>
            </w:r>
            <w:r>
              <w:rPr>
                <w:rFonts w:hAnsi="宋体"/>
                <w:color w:val="auto"/>
                <w:sz w:val="21"/>
                <w:highlight w:val="none"/>
                <w:lang w:val="en-US"/>
              </w:rPr>
              <w:t>8.9</w:t>
            </w:r>
            <w:r>
              <w:rPr>
                <w:rFonts w:hint="eastAsia" w:hAnsi="宋体"/>
                <w:color w:val="auto"/>
                <w:sz w:val="21"/>
                <w:highlight w:val="none"/>
                <w:lang w:val="en-US"/>
              </w:rPr>
              <w:t>分，人员设置合理得</w:t>
            </w:r>
            <w:r>
              <w:rPr>
                <w:rFonts w:hAnsi="宋体"/>
                <w:color w:val="auto"/>
                <w:sz w:val="21"/>
                <w:highlight w:val="none"/>
                <w:lang w:val="en-US"/>
              </w:rPr>
              <w:t>9</w:t>
            </w:r>
            <w:r>
              <w:rPr>
                <w:rFonts w:hint="eastAsia" w:hAnsi="宋体"/>
                <w:color w:val="auto"/>
                <w:sz w:val="21"/>
                <w:highlight w:val="none"/>
                <w:lang w:val="en-US"/>
              </w:rPr>
              <w:t>-</w:t>
            </w:r>
            <w:r>
              <w:rPr>
                <w:rFonts w:hAnsi="宋体"/>
                <w:color w:val="auto"/>
                <w:sz w:val="21"/>
                <w:highlight w:val="none"/>
                <w:lang w:val="en-US"/>
              </w:rPr>
              <w:t>10</w:t>
            </w:r>
            <w:r>
              <w:rPr>
                <w:rFonts w:hint="eastAsia" w:hAnsi="宋体"/>
                <w:color w:val="auto"/>
                <w:sz w:val="21"/>
                <w:highlight w:val="none"/>
                <w:lang w:val="en-US"/>
              </w:rPr>
              <w:t>分。无此项内容不得分。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hRule="atLeast"/>
          <w:jc w:val="center"/>
        </w:trPr>
        <w:tc>
          <w:tcPr>
            <w:tcW w:w="685" w:type="dxa"/>
            <w:vMerge w:val="continue"/>
            <w:tcBorders>
              <w:top w:val="nil"/>
            </w:tcBorders>
            <w:vAlign w:val="center"/>
          </w:tcPr>
          <w:p>
            <w:pPr>
              <w:spacing w:line="360" w:lineRule="auto"/>
              <w:jc w:val="center"/>
              <w:rPr>
                <w:color w:val="auto"/>
                <w:sz w:val="21"/>
                <w:szCs w:val="21"/>
                <w:highlight w:val="none"/>
                <w:lang w:val="en-US"/>
              </w:rPr>
            </w:pPr>
          </w:p>
        </w:tc>
        <w:tc>
          <w:tcPr>
            <w:tcW w:w="998" w:type="dxa"/>
            <w:vMerge w:val="continue"/>
            <w:tcBorders>
              <w:top w:val="nil"/>
              <w:right w:val="single" w:color="auto" w:sz="4" w:space="0"/>
            </w:tcBorders>
            <w:vAlign w:val="center"/>
          </w:tcPr>
          <w:p>
            <w:pPr>
              <w:pStyle w:val="14"/>
              <w:adjustRightInd w:val="0"/>
              <w:snapToGrid w:val="0"/>
              <w:jc w:val="center"/>
              <w:rPr>
                <w:rFonts w:hAnsi="宋体"/>
                <w:color w:val="auto"/>
                <w:sz w:val="21"/>
                <w:highlight w:val="none"/>
                <w:lang w:val="en-US"/>
              </w:rPr>
            </w:pPr>
          </w:p>
        </w:tc>
        <w:tc>
          <w:tcPr>
            <w:tcW w:w="1279" w:type="dxa"/>
            <w:tcBorders>
              <w:top w:val="single" w:color="auto" w:sz="4" w:space="0"/>
              <w:left w:val="single" w:color="auto" w:sz="4" w:space="0"/>
              <w:bottom w:val="single" w:color="auto" w:sz="4" w:space="0"/>
            </w:tcBorders>
            <w:vAlign w:val="center"/>
          </w:tcPr>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服务实施方案</w:t>
            </w:r>
          </w:p>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w:t>
            </w:r>
            <w:r>
              <w:rPr>
                <w:rFonts w:hint="eastAsia" w:hAnsi="宋体"/>
                <w:color w:val="auto"/>
                <w:sz w:val="21"/>
                <w:highlight w:val="none"/>
                <w:lang w:val="en-US" w:eastAsia="zh-CN"/>
              </w:rPr>
              <w:t>1</w:t>
            </w:r>
            <w:r>
              <w:rPr>
                <w:rFonts w:hint="eastAsia" w:hAnsi="宋体"/>
                <w:color w:val="auto"/>
                <w:sz w:val="21"/>
                <w:highlight w:val="none"/>
                <w:lang w:val="en-US"/>
              </w:rPr>
              <w:t>0分)</w:t>
            </w:r>
          </w:p>
        </w:tc>
        <w:tc>
          <w:tcPr>
            <w:tcW w:w="6138" w:type="dxa"/>
            <w:tcBorders>
              <w:top w:val="single" w:color="auto" w:sz="4" w:space="0"/>
            </w:tcBorders>
            <w:vAlign w:val="center"/>
          </w:tcPr>
          <w:p>
            <w:pPr>
              <w:pStyle w:val="14"/>
              <w:adjustRightInd w:val="0"/>
              <w:snapToGrid w:val="0"/>
              <w:jc w:val="left"/>
              <w:rPr>
                <w:rFonts w:hAnsi="宋体"/>
                <w:color w:val="auto"/>
                <w:sz w:val="21"/>
                <w:highlight w:val="none"/>
                <w:lang w:val="en-US"/>
              </w:rPr>
            </w:pPr>
            <w:r>
              <w:rPr>
                <w:rFonts w:hint="eastAsia" w:hAnsi="宋体"/>
                <w:color w:val="auto"/>
                <w:sz w:val="21"/>
                <w:highlight w:val="none"/>
                <w:lang w:val="en-US"/>
              </w:rPr>
              <w:t>方案基本满足要求得</w:t>
            </w:r>
            <w:r>
              <w:rPr>
                <w:rFonts w:hint="eastAsia" w:hAnsi="宋体"/>
                <w:color w:val="auto"/>
                <w:sz w:val="21"/>
                <w:highlight w:val="none"/>
                <w:lang w:val="en-US" w:eastAsia="zh-CN"/>
              </w:rPr>
              <w:t>7</w:t>
            </w:r>
            <w:r>
              <w:rPr>
                <w:rFonts w:hint="eastAsia" w:hAnsi="宋体"/>
                <w:color w:val="auto"/>
                <w:sz w:val="21"/>
                <w:highlight w:val="none"/>
                <w:lang w:val="en-US"/>
              </w:rPr>
              <w:t>-</w:t>
            </w:r>
            <w:r>
              <w:rPr>
                <w:rFonts w:hAnsi="宋体"/>
                <w:color w:val="auto"/>
                <w:sz w:val="21"/>
                <w:highlight w:val="none"/>
                <w:lang w:val="en-US"/>
              </w:rPr>
              <w:t>7.9</w:t>
            </w:r>
            <w:r>
              <w:rPr>
                <w:rFonts w:hint="eastAsia" w:hAnsi="宋体"/>
                <w:color w:val="auto"/>
                <w:sz w:val="21"/>
                <w:highlight w:val="none"/>
                <w:lang w:val="en-US"/>
              </w:rPr>
              <w:t>分；方案较合理得</w:t>
            </w:r>
            <w:r>
              <w:rPr>
                <w:rFonts w:hAnsi="宋体"/>
                <w:color w:val="auto"/>
                <w:sz w:val="21"/>
                <w:highlight w:val="none"/>
                <w:lang w:val="en-US"/>
              </w:rPr>
              <w:t>8</w:t>
            </w:r>
            <w:r>
              <w:rPr>
                <w:rFonts w:hint="eastAsia" w:hAnsi="宋体"/>
                <w:color w:val="auto"/>
                <w:sz w:val="21"/>
                <w:highlight w:val="none"/>
                <w:lang w:val="en-US"/>
              </w:rPr>
              <w:t>-</w:t>
            </w:r>
            <w:r>
              <w:rPr>
                <w:rFonts w:hAnsi="宋体"/>
                <w:color w:val="auto"/>
                <w:sz w:val="21"/>
                <w:highlight w:val="none"/>
                <w:lang w:val="en-US"/>
              </w:rPr>
              <w:t>8.9</w:t>
            </w:r>
            <w:r>
              <w:rPr>
                <w:rFonts w:hint="eastAsia" w:hAnsi="宋体"/>
                <w:color w:val="auto"/>
                <w:sz w:val="21"/>
                <w:highlight w:val="none"/>
                <w:lang w:val="en-US"/>
              </w:rPr>
              <w:t>分；方案合理可行，符合本项目实际情况得</w:t>
            </w:r>
            <w:r>
              <w:rPr>
                <w:rFonts w:hAnsi="宋体"/>
                <w:color w:val="auto"/>
                <w:sz w:val="21"/>
                <w:highlight w:val="none"/>
                <w:lang w:val="en-US"/>
              </w:rPr>
              <w:t>9</w:t>
            </w:r>
            <w:r>
              <w:rPr>
                <w:rFonts w:hint="eastAsia" w:hAnsi="宋体"/>
                <w:color w:val="auto"/>
                <w:sz w:val="21"/>
                <w:highlight w:val="none"/>
                <w:lang w:val="en-US"/>
              </w:rPr>
              <w:t>-</w:t>
            </w:r>
            <w:r>
              <w:rPr>
                <w:rFonts w:hint="eastAsia" w:hAnsi="宋体"/>
                <w:color w:val="auto"/>
                <w:sz w:val="21"/>
                <w:highlight w:val="none"/>
                <w:lang w:val="en-US" w:eastAsia="zh-CN"/>
              </w:rPr>
              <w:t>10</w:t>
            </w:r>
            <w:r>
              <w:rPr>
                <w:rFonts w:hint="eastAsia" w:hAnsi="宋体"/>
                <w:color w:val="auto"/>
                <w:sz w:val="21"/>
                <w:highlight w:val="none"/>
                <w:lang w:val="en-US"/>
              </w:rPr>
              <w:t>分。无此项内容不得分。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9" w:hRule="atLeast"/>
          <w:jc w:val="center"/>
        </w:trPr>
        <w:tc>
          <w:tcPr>
            <w:tcW w:w="685" w:type="dxa"/>
            <w:vMerge w:val="continue"/>
            <w:tcBorders>
              <w:top w:val="nil"/>
            </w:tcBorders>
            <w:vAlign w:val="center"/>
          </w:tcPr>
          <w:p>
            <w:pPr>
              <w:spacing w:line="360" w:lineRule="auto"/>
              <w:jc w:val="center"/>
              <w:rPr>
                <w:color w:val="auto"/>
                <w:sz w:val="21"/>
                <w:szCs w:val="21"/>
                <w:highlight w:val="none"/>
                <w:lang w:val="en-US"/>
              </w:rPr>
            </w:pPr>
          </w:p>
        </w:tc>
        <w:tc>
          <w:tcPr>
            <w:tcW w:w="998" w:type="dxa"/>
            <w:vMerge w:val="continue"/>
            <w:tcBorders>
              <w:top w:val="nil"/>
              <w:right w:val="single" w:color="auto" w:sz="4" w:space="0"/>
            </w:tcBorders>
            <w:vAlign w:val="center"/>
          </w:tcPr>
          <w:p>
            <w:pPr>
              <w:pStyle w:val="14"/>
              <w:adjustRightInd w:val="0"/>
              <w:snapToGrid w:val="0"/>
              <w:jc w:val="center"/>
              <w:rPr>
                <w:rFonts w:hAnsi="宋体"/>
                <w:color w:val="auto"/>
                <w:sz w:val="21"/>
                <w:highlight w:val="none"/>
                <w:lang w:val="en-US"/>
              </w:rPr>
            </w:pPr>
          </w:p>
        </w:tc>
        <w:tc>
          <w:tcPr>
            <w:tcW w:w="1279" w:type="dxa"/>
            <w:tcBorders>
              <w:top w:val="single" w:color="auto" w:sz="4" w:space="0"/>
              <w:left w:val="single" w:color="auto" w:sz="4" w:space="0"/>
              <w:bottom w:val="single" w:color="auto" w:sz="4" w:space="0"/>
            </w:tcBorders>
            <w:vAlign w:val="center"/>
          </w:tcPr>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应急服务</w:t>
            </w:r>
          </w:p>
          <w:p>
            <w:pPr>
              <w:pStyle w:val="14"/>
              <w:adjustRightInd w:val="0"/>
              <w:snapToGrid w:val="0"/>
              <w:jc w:val="center"/>
              <w:rPr>
                <w:rFonts w:hAnsi="宋体"/>
                <w:color w:val="auto"/>
                <w:sz w:val="21"/>
                <w:highlight w:val="none"/>
                <w:lang w:val="en-US"/>
              </w:rPr>
            </w:pPr>
            <w:r>
              <w:rPr>
                <w:rFonts w:hint="eastAsia" w:hAnsi="宋体"/>
                <w:color w:val="auto"/>
                <w:sz w:val="21"/>
                <w:highlight w:val="none"/>
                <w:lang w:val="en-US"/>
              </w:rPr>
              <w:t>（</w:t>
            </w:r>
            <w:r>
              <w:rPr>
                <w:rFonts w:hAnsi="宋体"/>
                <w:color w:val="auto"/>
                <w:sz w:val="21"/>
                <w:highlight w:val="none"/>
                <w:lang w:val="en-US"/>
              </w:rPr>
              <w:t>10</w:t>
            </w:r>
            <w:r>
              <w:rPr>
                <w:rFonts w:hint="eastAsia" w:hAnsi="宋体"/>
                <w:color w:val="auto"/>
                <w:sz w:val="21"/>
                <w:highlight w:val="none"/>
                <w:lang w:val="en-US"/>
              </w:rPr>
              <w:t>分）</w:t>
            </w:r>
          </w:p>
        </w:tc>
        <w:tc>
          <w:tcPr>
            <w:tcW w:w="6138" w:type="dxa"/>
            <w:tcBorders>
              <w:top w:val="single" w:color="auto" w:sz="4" w:space="0"/>
            </w:tcBorders>
            <w:vAlign w:val="center"/>
          </w:tcPr>
          <w:p>
            <w:pPr>
              <w:pStyle w:val="14"/>
              <w:adjustRightInd w:val="0"/>
              <w:snapToGrid w:val="0"/>
              <w:jc w:val="left"/>
              <w:rPr>
                <w:rFonts w:hAnsi="宋体"/>
                <w:color w:val="auto"/>
                <w:sz w:val="21"/>
                <w:highlight w:val="none"/>
                <w:lang w:val="en-US"/>
              </w:rPr>
            </w:pPr>
            <w:r>
              <w:rPr>
                <w:rFonts w:hint="eastAsia" w:hAnsi="宋体"/>
                <w:color w:val="auto"/>
                <w:sz w:val="21"/>
                <w:highlight w:val="none"/>
                <w:lang w:val="en-US"/>
              </w:rPr>
              <w:t>投标人在本项目上有应急服务能力、服务团队、服务响应时间，以及具有出现应急突发事件时的实施方案等，应急实施方案一般得</w:t>
            </w:r>
            <w:r>
              <w:rPr>
                <w:rFonts w:hint="eastAsia" w:hAnsi="宋体"/>
                <w:color w:val="auto"/>
                <w:sz w:val="21"/>
                <w:highlight w:val="none"/>
                <w:lang w:val="en-US" w:eastAsia="zh-CN"/>
              </w:rPr>
              <w:t>7</w:t>
            </w:r>
            <w:r>
              <w:rPr>
                <w:rFonts w:hint="eastAsia" w:hAnsi="宋体"/>
                <w:color w:val="auto"/>
                <w:sz w:val="21"/>
                <w:highlight w:val="none"/>
                <w:lang w:val="en-US"/>
              </w:rPr>
              <w:t>-</w:t>
            </w:r>
            <w:r>
              <w:rPr>
                <w:rFonts w:hAnsi="宋体"/>
                <w:color w:val="auto"/>
                <w:sz w:val="21"/>
                <w:highlight w:val="none"/>
                <w:lang w:val="en-US"/>
              </w:rPr>
              <w:t>7.9</w:t>
            </w:r>
            <w:r>
              <w:rPr>
                <w:rFonts w:hint="eastAsia" w:hAnsi="宋体"/>
                <w:color w:val="auto"/>
                <w:sz w:val="21"/>
                <w:highlight w:val="none"/>
                <w:lang w:val="en-US"/>
              </w:rPr>
              <w:t>分，应急实施方案较好、服务能力较好得</w:t>
            </w:r>
            <w:r>
              <w:rPr>
                <w:rFonts w:hAnsi="宋体"/>
                <w:color w:val="auto"/>
                <w:sz w:val="21"/>
                <w:highlight w:val="none"/>
                <w:lang w:val="en-US"/>
              </w:rPr>
              <w:t>8</w:t>
            </w:r>
            <w:r>
              <w:rPr>
                <w:rFonts w:hint="eastAsia" w:hAnsi="宋体"/>
                <w:color w:val="auto"/>
                <w:sz w:val="21"/>
                <w:highlight w:val="none"/>
                <w:lang w:val="en-US"/>
              </w:rPr>
              <w:t>-</w:t>
            </w:r>
            <w:r>
              <w:rPr>
                <w:rFonts w:hAnsi="宋体"/>
                <w:color w:val="auto"/>
                <w:sz w:val="21"/>
                <w:highlight w:val="none"/>
                <w:lang w:val="en-US"/>
              </w:rPr>
              <w:t>8.9</w:t>
            </w:r>
            <w:r>
              <w:rPr>
                <w:rFonts w:hint="eastAsia" w:hAnsi="宋体"/>
                <w:color w:val="auto"/>
                <w:sz w:val="21"/>
                <w:highlight w:val="none"/>
                <w:lang w:val="en-US"/>
              </w:rPr>
              <w:t>分，应急实施方案完善、服务能力突出得</w:t>
            </w:r>
            <w:r>
              <w:rPr>
                <w:rFonts w:hAnsi="宋体"/>
                <w:color w:val="auto"/>
                <w:sz w:val="21"/>
                <w:highlight w:val="none"/>
                <w:lang w:val="en-US"/>
              </w:rPr>
              <w:t>9</w:t>
            </w:r>
            <w:r>
              <w:rPr>
                <w:rFonts w:hint="eastAsia" w:hAnsi="宋体"/>
                <w:color w:val="auto"/>
                <w:sz w:val="21"/>
                <w:highlight w:val="none"/>
                <w:lang w:val="en-US"/>
              </w:rPr>
              <w:t>-</w:t>
            </w:r>
            <w:r>
              <w:rPr>
                <w:rFonts w:hAnsi="宋体"/>
                <w:color w:val="auto"/>
                <w:sz w:val="21"/>
                <w:highlight w:val="none"/>
                <w:lang w:val="en-US"/>
              </w:rPr>
              <w:t>10</w:t>
            </w:r>
            <w:r>
              <w:rPr>
                <w:rFonts w:hint="eastAsia" w:hAnsi="宋体"/>
                <w:color w:val="auto"/>
                <w:sz w:val="21"/>
                <w:highlight w:val="none"/>
                <w:lang w:val="en-US"/>
              </w:rPr>
              <w:t>分。无此项内容不得分。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8" w:hRule="atLeast"/>
          <w:jc w:val="center"/>
        </w:trPr>
        <w:tc>
          <w:tcPr>
            <w:tcW w:w="685" w:type="dxa"/>
            <w:tcBorders>
              <w:top w:val="single" w:color="000000" w:sz="4" w:space="0"/>
              <w:right w:val="single" w:color="000000" w:sz="4" w:space="0"/>
            </w:tcBorders>
            <w:vAlign w:val="center"/>
          </w:tcPr>
          <w:p>
            <w:pPr>
              <w:spacing w:line="380" w:lineRule="exact"/>
              <w:rPr>
                <w:color w:val="auto"/>
                <w:sz w:val="21"/>
                <w:szCs w:val="21"/>
                <w:highlight w:val="none"/>
                <w:lang w:val="en-US"/>
              </w:rPr>
            </w:pPr>
            <w:r>
              <w:rPr>
                <w:rFonts w:hint="eastAsia"/>
                <w:color w:val="auto"/>
                <w:sz w:val="21"/>
                <w:szCs w:val="21"/>
                <w:highlight w:val="none"/>
                <w:lang w:val="en-US"/>
              </w:rPr>
              <w:t>2.2.4（3）</w:t>
            </w:r>
          </w:p>
        </w:tc>
        <w:tc>
          <w:tcPr>
            <w:tcW w:w="998" w:type="dxa"/>
            <w:tcBorders>
              <w:top w:val="single" w:color="000000" w:sz="4" w:space="0"/>
              <w:left w:val="single" w:color="000000" w:sz="4" w:space="0"/>
            </w:tcBorders>
            <w:vAlign w:val="center"/>
          </w:tcPr>
          <w:p>
            <w:pPr>
              <w:spacing w:line="380" w:lineRule="exact"/>
              <w:rPr>
                <w:color w:val="auto"/>
                <w:sz w:val="21"/>
                <w:szCs w:val="21"/>
                <w:highlight w:val="none"/>
                <w:lang w:val="en-US"/>
              </w:rPr>
            </w:pPr>
            <w:r>
              <w:rPr>
                <w:rFonts w:hint="eastAsia"/>
                <w:color w:val="auto"/>
                <w:sz w:val="21"/>
                <w:szCs w:val="21"/>
                <w:highlight w:val="none"/>
                <w:lang w:val="en-US"/>
              </w:rPr>
              <w:t>投标报价（</w:t>
            </w:r>
            <w:r>
              <w:rPr>
                <w:color w:val="auto"/>
                <w:sz w:val="21"/>
                <w:szCs w:val="21"/>
                <w:highlight w:val="none"/>
                <w:lang w:val="en-US"/>
              </w:rPr>
              <w:t>30</w:t>
            </w:r>
            <w:r>
              <w:rPr>
                <w:rFonts w:hint="eastAsia"/>
                <w:color w:val="auto"/>
                <w:sz w:val="21"/>
                <w:szCs w:val="21"/>
                <w:highlight w:val="none"/>
                <w:lang w:val="en-US"/>
              </w:rPr>
              <w:t>分）</w:t>
            </w:r>
          </w:p>
        </w:tc>
        <w:tc>
          <w:tcPr>
            <w:tcW w:w="7417" w:type="dxa"/>
            <w:gridSpan w:val="2"/>
            <w:vAlign w:val="center"/>
          </w:tcPr>
          <w:p>
            <w:pPr>
              <w:spacing w:line="380" w:lineRule="exact"/>
              <w:rPr>
                <w:color w:val="auto"/>
                <w:sz w:val="21"/>
                <w:szCs w:val="21"/>
                <w:highlight w:val="none"/>
                <w:lang w:val="en-US"/>
              </w:rPr>
            </w:pPr>
            <w:r>
              <w:rPr>
                <w:rFonts w:hint="eastAsia"/>
                <w:color w:val="auto"/>
                <w:sz w:val="21"/>
                <w:szCs w:val="21"/>
                <w:highlight w:val="none"/>
                <w:lang w:val="en-US"/>
              </w:rPr>
              <w:t>报价评分计算规则：投标报价偏差率=0时，投标报价得分=</w:t>
            </w:r>
            <w:r>
              <w:rPr>
                <w:color w:val="auto"/>
                <w:sz w:val="21"/>
                <w:szCs w:val="21"/>
                <w:highlight w:val="none"/>
                <w:lang w:val="en-US"/>
              </w:rPr>
              <w:t>3</w:t>
            </w:r>
            <w:r>
              <w:rPr>
                <w:rFonts w:hint="eastAsia"/>
                <w:color w:val="auto"/>
                <w:sz w:val="21"/>
                <w:szCs w:val="21"/>
                <w:highlight w:val="none"/>
                <w:lang w:val="en-US"/>
              </w:rPr>
              <w:t>0分；</w:t>
            </w:r>
          </w:p>
          <w:p>
            <w:pPr>
              <w:spacing w:line="380" w:lineRule="exact"/>
              <w:rPr>
                <w:color w:val="auto"/>
                <w:sz w:val="21"/>
                <w:szCs w:val="21"/>
                <w:highlight w:val="none"/>
                <w:lang w:val="en-US"/>
              </w:rPr>
            </w:pPr>
            <w:r>
              <w:rPr>
                <w:rFonts w:hint="eastAsia"/>
                <w:color w:val="auto"/>
                <w:sz w:val="21"/>
                <w:szCs w:val="21"/>
                <w:highlight w:val="none"/>
                <w:lang w:val="en-US"/>
              </w:rPr>
              <w:t>投标报价偏差率＞0时，投标报价得分=</w:t>
            </w:r>
            <w:r>
              <w:rPr>
                <w:color w:val="auto"/>
                <w:sz w:val="21"/>
                <w:szCs w:val="21"/>
                <w:highlight w:val="none"/>
                <w:lang w:val="en-US"/>
              </w:rPr>
              <w:t>3</w:t>
            </w:r>
            <w:r>
              <w:rPr>
                <w:rFonts w:hint="eastAsia"/>
                <w:color w:val="auto"/>
                <w:sz w:val="21"/>
                <w:szCs w:val="21"/>
                <w:highlight w:val="none"/>
                <w:lang w:val="en-US"/>
              </w:rPr>
              <w:t>0分-投标报价偏差率×</w:t>
            </w:r>
            <w:r>
              <w:rPr>
                <w:color w:val="auto"/>
                <w:sz w:val="21"/>
                <w:szCs w:val="21"/>
                <w:highlight w:val="none"/>
                <w:lang w:val="en-US"/>
              </w:rPr>
              <w:t>0.4</w:t>
            </w:r>
            <w:r>
              <w:rPr>
                <w:rFonts w:hint="eastAsia"/>
                <w:color w:val="auto"/>
                <w:sz w:val="21"/>
                <w:szCs w:val="21"/>
                <w:highlight w:val="none"/>
                <w:lang w:val="en-US"/>
              </w:rPr>
              <w:t>×100；</w:t>
            </w:r>
          </w:p>
          <w:p>
            <w:pPr>
              <w:spacing w:line="380" w:lineRule="exact"/>
              <w:rPr>
                <w:color w:val="auto"/>
                <w:sz w:val="21"/>
                <w:szCs w:val="21"/>
                <w:highlight w:val="none"/>
                <w:lang w:val="en-US"/>
              </w:rPr>
            </w:pPr>
            <w:r>
              <w:rPr>
                <w:rFonts w:hint="eastAsia"/>
                <w:color w:val="auto"/>
                <w:sz w:val="21"/>
                <w:szCs w:val="21"/>
                <w:highlight w:val="none"/>
                <w:lang w:val="en-US"/>
              </w:rPr>
              <w:t>投标报价偏差率＜0时，投标报价得分=</w:t>
            </w:r>
            <w:r>
              <w:rPr>
                <w:color w:val="auto"/>
                <w:sz w:val="21"/>
                <w:szCs w:val="21"/>
                <w:highlight w:val="none"/>
                <w:lang w:val="en-US"/>
              </w:rPr>
              <w:t>3</w:t>
            </w:r>
            <w:r>
              <w:rPr>
                <w:rFonts w:hint="eastAsia"/>
                <w:color w:val="auto"/>
                <w:sz w:val="21"/>
                <w:szCs w:val="21"/>
                <w:highlight w:val="none"/>
                <w:lang w:val="en-US"/>
              </w:rPr>
              <w:t>0分-∣投标报价偏差率∣×</w:t>
            </w:r>
            <w:r>
              <w:rPr>
                <w:color w:val="auto"/>
                <w:sz w:val="21"/>
                <w:szCs w:val="21"/>
                <w:highlight w:val="none"/>
                <w:lang w:val="en-US"/>
              </w:rPr>
              <w:t>0.2</w:t>
            </w:r>
            <w:r>
              <w:rPr>
                <w:rFonts w:hint="eastAsia"/>
                <w:color w:val="auto"/>
                <w:sz w:val="21"/>
                <w:szCs w:val="21"/>
                <w:highlight w:val="none"/>
                <w:lang w:val="en-US"/>
              </w:rPr>
              <w:t>×100；</w:t>
            </w:r>
          </w:p>
          <w:p>
            <w:pPr>
              <w:spacing w:line="380" w:lineRule="exact"/>
              <w:rPr>
                <w:color w:val="auto"/>
                <w:sz w:val="21"/>
                <w:szCs w:val="21"/>
                <w:highlight w:val="none"/>
                <w:lang w:val="en-US"/>
              </w:rPr>
            </w:pPr>
            <w:r>
              <w:rPr>
                <w:rFonts w:hint="eastAsia"/>
                <w:color w:val="auto"/>
                <w:sz w:val="21"/>
                <w:szCs w:val="21"/>
                <w:highlight w:val="none"/>
                <w:lang w:val="en-US"/>
              </w:rPr>
              <w:t>偏差不足1%时按插值法计算，计算结果小数点保留两位，小数点第三位四舍五入。</w:t>
            </w:r>
          </w:p>
        </w:tc>
      </w:tr>
    </w:tbl>
    <w:p>
      <w:pPr>
        <w:pStyle w:val="38"/>
        <w:numPr>
          <w:ilvl w:val="0"/>
          <w:numId w:val="9"/>
        </w:numPr>
        <w:tabs>
          <w:tab w:val="left" w:pos="642"/>
        </w:tabs>
        <w:spacing w:line="525" w:lineRule="exact"/>
        <w:ind w:hanging="402"/>
        <w:rPr>
          <w:rFonts w:asciiTheme="majorEastAsia" w:hAnsiTheme="majorEastAsia" w:eastAsiaTheme="majorEastAsia"/>
          <w:b/>
          <w:color w:val="auto"/>
          <w:sz w:val="32"/>
          <w:highlight w:val="none"/>
        </w:rPr>
      </w:pPr>
      <w:r>
        <w:rPr>
          <w:rFonts w:hint="eastAsia" w:asciiTheme="majorEastAsia" w:hAnsiTheme="majorEastAsia" w:eastAsiaTheme="majorEastAsia"/>
          <w:b/>
          <w:color w:val="auto"/>
          <w:sz w:val="32"/>
          <w:highlight w:val="none"/>
        </w:rPr>
        <w:t>评标方法</w:t>
      </w:r>
      <w:bookmarkEnd w:id="165"/>
    </w:p>
    <w:p>
      <w:pPr>
        <w:pStyle w:val="2"/>
        <w:spacing w:before="10"/>
        <w:rPr>
          <w:rFonts w:ascii="Microsoft JhengHei"/>
          <w:b/>
          <w:color w:val="auto"/>
          <w:sz w:val="26"/>
          <w:highlight w:val="none"/>
        </w:rPr>
      </w:pPr>
    </w:p>
    <w:p>
      <w:pPr>
        <w:pStyle w:val="2"/>
        <w:spacing w:line="364" w:lineRule="auto"/>
        <w:ind w:left="240" w:right="691" w:firstLine="419"/>
        <w:jc w:val="both"/>
        <w:rPr>
          <w:color w:val="auto"/>
          <w:highlight w:val="none"/>
        </w:rPr>
      </w:pPr>
      <w:r>
        <w:rPr>
          <w:rFonts w:hint="eastAsia"/>
          <w:color w:val="auto"/>
          <w:highlight w:val="none"/>
        </w:rPr>
        <w:t>本次评标采用综合评估法。评标委员会对满足招标文件实质性要求的投标文件，按照本章第</w:t>
      </w:r>
      <w:r>
        <w:rPr>
          <w:color w:val="auto"/>
          <w:highlight w:val="none"/>
        </w:rPr>
        <w:t xml:space="preserve"> 2.2 款规定的评分标准进行打分，并按得分由高到低顺序推荐中标候选人，或根据招标人授权直接确定中标人。综合评分相等时，以投标报价低的优先；投标报价也相等的，以方案得分高的优先；如果方案得分也相等，</w:t>
      </w:r>
      <w:r>
        <w:rPr>
          <w:rFonts w:hint="eastAsia"/>
          <w:color w:val="auto"/>
          <w:highlight w:val="none"/>
        </w:rPr>
        <w:t>由招标人自行确定</w:t>
      </w:r>
      <w:r>
        <w:rPr>
          <w:color w:val="auto"/>
          <w:highlight w:val="none"/>
        </w:rPr>
        <w:t>。</w:t>
      </w:r>
    </w:p>
    <w:p>
      <w:pPr>
        <w:pStyle w:val="38"/>
        <w:numPr>
          <w:ilvl w:val="0"/>
          <w:numId w:val="9"/>
        </w:numPr>
        <w:tabs>
          <w:tab w:val="left" w:pos="642"/>
        </w:tabs>
        <w:spacing w:before="152"/>
        <w:ind w:hanging="402"/>
        <w:rPr>
          <w:rFonts w:asciiTheme="majorEastAsia" w:hAnsiTheme="majorEastAsia" w:eastAsiaTheme="majorEastAsia"/>
          <w:b/>
          <w:color w:val="auto"/>
          <w:sz w:val="32"/>
          <w:highlight w:val="none"/>
        </w:rPr>
      </w:pPr>
      <w:bookmarkStart w:id="167" w:name="_bookmark88"/>
      <w:bookmarkEnd w:id="167"/>
      <w:bookmarkStart w:id="168" w:name="_Toc24362_WPSOffice_Level2"/>
      <w:r>
        <w:rPr>
          <w:rFonts w:hint="eastAsia" w:asciiTheme="majorEastAsia" w:hAnsiTheme="majorEastAsia" w:eastAsiaTheme="majorEastAsia"/>
          <w:b/>
          <w:color w:val="auto"/>
          <w:sz w:val="32"/>
          <w:highlight w:val="none"/>
        </w:rPr>
        <w:t>评审标准</w:t>
      </w:r>
      <w:bookmarkEnd w:id="168"/>
    </w:p>
    <w:p>
      <w:pPr>
        <w:pStyle w:val="2"/>
        <w:spacing w:before="13"/>
        <w:rPr>
          <w:rFonts w:ascii="Microsoft JhengHei"/>
          <w:b/>
          <w:color w:val="auto"/>
          <w:sz w:val="26"/>
          <w:highlight w:val="none"/>
        </w:rPr>
      </w:pPr>
    </w:p>
    <w:p>
      <w:pPr>
        <w:pStyle w:val="38"/>
        <w:numPr>
          <w:ilvl w:val="1"/>
          <w:numId w:val="9"/>
        </w:numPr>
        <w:tabs>
          <w:tab w:val="left" w:pos="867"/>
        </w:tabs>
        <w:rPr>
          <w:color w:val="auto"/>
          <w:sz w:val="28"/>
          <w:highlight w:val="none"/>
        </w:rPr>
      </w:pPr>
      <w:bookmarkStart w:id="169" w:name="_bookmark89"/>
      <w:bookmarkEnd w:id="169"/>
      <w:bookmarkStart w:id="170" w:name="_Toc27655_WPSOffice_Level3"/>
      <w:r>
        <w:rPr>
          <w:color w:val="auto"/>
          <w:spacing w:val="-1"/>
          <w:sz w:val="28"/>
          <w:highlight w:val="none"/>
        </w:rPr>
        <w:t>初步评审标准</w:t>
      </w:r>
      <w:bookmarkEnd w:id="170"/>
    </w:p>
    <w:p>
      <w:pPr>
        <w:pStyle w:val="2"/>
        <w:rPr>
          <w:color w:val="auto"/>
          <w:sz w:val="29"/>
          <w:highlight w:val="none"/>
        </w:rPr>
      </w:pPr>
    </w:p>
    <w:p>
      <w:pPr>
        <w:pStyle w:val="38"/>
        <w:numPr>
          <w:ilvl w:val="2"/>
          <w:numId w:val="9"/>
        </w:numPr>
        <w:tabs>
          <w:tab w:val="left" w:pos="1186"/>
        </w:tabs>
        <w:rPr>
          <w:color w:val="auto"/>
          <w:sz w:val="21"/>
          <w:highlight w:val="none"/>
        </w:rPr>
      </w:pPr>
      <w:r>
        <w:rPr>
          <w:color w:val="auto"/>
          <w:spacing w:val="-3"/>
          <w:sz w:val="21"/>
          <w:highlight w:val="none"/>
        </w:rPr>
        <w:t>形式评审标准：见评标办法前附表。</w:t>
      </w:r>
    </w:p>
    <w:p>
      <w:pPr>
        <w:pStyle w:val="38"/>
        <w:numPr>
          <w:ilvl w:val="2"/>
          <w:numId w:val="9"/>
        </w:numPr>
        <w:tabs>
          <w:tab w:val="left" w:pos="1186"/>
        </w:tabs>
        <w:spacing w:before="132"/>
        <w:rPr>
          <w:color w:val="auto"/>
          <w:sz w:val="21"/>
          <w:highlight w:val="none"/>
        </w:rPr>
      </w:pPr>
      <w:r>
        <w:rPr>
          <w:color w:val="auto"/>
          <w:spacing w:val="-3"/>
          <w:sz w:val="21"/>
          <w:highlight w:val="none"/>
        </w:rPr>
        <w:t>资格评审标准：见评标办法前附表。</w:t>
      </w:r>
    </w:p>
    <w:p>
      <w:pPr>
        <w:pStyle w:val="38"/>
        <w:numPr>
          <w:ilvl w:val="2"/>
          <w:numId w:val="9"/>
        </w:numPr>
        <w:tabs>
          <w:tab w:val="left" w:pos="1186"/>
        </w:tabs>
        <w:spacing w:before="131"/>
        <w:rPr>
          <w:color w:val="auto"/>
          <w:sz w:val="21"/>
          <w:highlight w:val="none"/>
        </w:rPr>
      </w:pPr>
      <w:r>
        <w:rPr>
          <w:color w:val="auto"/>
          <w:spacing w:val="-3"/>
          <w:sz w:val="21"/>
          <w:highlight w:val="none"/>
        </w:rPr>
        <w:t>响应性评审标准：见评标办法前附表。</w:t>
      </w:r>
    </w:p>
    <w:p>
      <w:pPr>
        <w:pStyle w:val="2"/>
        <w:spacing w:before="12"/>
        <w:rPr>
          <w:color w:val="auto"/>
          <w:highlight w:val="none"/>
        </w:rPr>
      </w:pPr>
    </w:p>
    <w:p>
      <w:pPr>
        <w:pStyle w:val="38"/>
        <w:numPr>
          <w:ilvl w:val="1"/>
          <w:numId w:val="9"/>
        </w:numPr>
        <w:tabs>
          <w:tab w:val="left" w:pos="867"/>
        </w:tabs>
        <w:rPr>
          <w:color w:val="auto"/>
          <w:sz w:val="28"/>
          <w:highlight w:val="none"/>
        </w:rPr>
      </w:pPr>
      <w:bookmarkStart w:id="171" w:name="_bookmark90"/>
      <w:bookmarkEnd w:id="171"/>
      <w:bookmarkStart w:id="172" w:name="_Toc4372_WPSOffice_Level3"/>
      <w:r>
        <w:rPr>
          <w:color w:val="auto"/>
          <w:spacing w:val="-2"/>
          <w:sz w:val="28"/>
          <w:highlight w:val="none"/>
        </w:rPr>
        <w:t>分值构成与评分标准</w:t>
      </w:r>
      <w:bookmarkEnd w:id="172"/>
    </w:p>
    <w:p>
      <w:pPr>
        <w:pStyle w:val="2"/>
        <w:spacing w:before="2"/>
        <w:rPr>
          <w:color w:val="auto"/>
          <w:sz w:val="29"/>
          <w:highlight w:val="none"/>
        </w:rPr>
      </w:pPr>
    </w:p>
    <w:p>
      <w:pPr>
        <w:pStyle w:val="38"/>
        <w:numPr>
          <w:ilvl w:val="2"/>
          <w:numId w:val="9"/>
        </w:numPr>
        <w:tabs>
          <w:tab w:val="left" w:pos="1186"/>
        </w:tabs>
        <w:rPr>
          <w:color w:val="auto"/>
          <w:sz w:val="21"/>
          <w:highlight w:val="none"/>
        </w:rPr>
      </w:pPr>
      <w:r>
        <w:rPr>
          <w:color w:val="auto"/>
          <w:spacing w:val="-2"/>
          <w:sz w:val="21"/>
          <w:highlight w:val="none"/>
        </w:rPr>
        <w:t>分值构成</w:t>
      </w:r>
    </w:p>
    <w:p>
      <w:pPr>
        <w:pStyle w:val="38"/>
        <w:numPr>
          <w:ilvl w:val="0"/>
          <w:numId w:val="10"/>
        </w:numPr>
        <w:tabs>
          <w:tab w:val="left" w:pos="1190"/>
        </w:tabs>
        <w:spacing w:before="132"/>
        <w:ind w:hanging="530"/>
        <w:rPr>
          <w:color w:val="auto"/>
          <w:sz w:val="21"/>
          <w:highlight w:val="none"/>
        </w:rPr>
      </w:pPr>
      <w:r>
        <w:rPr>
          <w:rFonts w:hint="eastAsia" w:ascii="Times New Roman"/>
          <w:color w:val="auto"/>
          <w:sz w:val="21"/>
          <w:szCs w:val="21"/>
          <w:highlight w:val="none"/>
          <w:lang w:val="en-US"/>
        </w:rPr>
        <w:t>商务部分</w:t>
      </w:r>
      <w:r>
        <w:rPr>
          <w:color w:val="auto"/>
          <w:spacing w:val="-3"/>
          <w:sz w:val="21"/>
          <w:highlight w:val="none"/>
        </w:rPr>
        <w:t>：见评标办法前附表；</w:t>
      </w:r>
    </w:p>
    <w:p>
      <w:pPr>
        <w:pStyle w:val="38"/>
        <w:numPr>
          <w:ilvl w:val="0"/>
          <w:numId w:val="10"/>
        </w:numPr>
        <w:tabs>
          <w:tab w:val="left" w:pos="1190"/>
        </w:tabs>
        <w:spacing w:before="130"/>
        <w:ind w:hanging="530"/>
        <w:rPr>
          <w:color w:val="auto"/>
          <w:sz w:val="21"/>
          <w:highlight w:val="none"/>
        </w:rPr>
      </w:pPr>
      <w:r>
        <w:rPr>
          <w:rFonts w:hint="eastAsia" w:ascii="Times New Roman"/>
          <w:color w:val="auto"/>
          <w:sz w:val="21"/>
          <w:szCs w:val="21"/>
          <w:highlight w:val="none"/>
          <w:lang w:val="en-US"/>
        </w:rPr>
        <w:t>服务方案</w:t>
      </w:r>
      <w:r>
        <w:rPr>
          <w:color w:val="auto"/>
          <w:spacing w:val="-3"/>
          <w:sz w:val="21"/>
          <w:highlight w:val="none"/>
        </w:rPr>
        <w:t>：见评标办法前附表；</w:t>
      </w:r>
    </w:p>
    <w:p>
      <w:pPr>
        <w:pStyle w:val="38"/>
        <w:numPr>
          <w:ilvl w:val="0"/>
          <w:numId w:val="10"/>
        </w:numPr>
        <w:tabs>
          <w:tab w:val="left" w:pos="1190"/>
        </w:tabs>
        <w:spacing w:before="131"/>
        <w:ind w:hanging="530"/>
        <w:rPr>
          <w:color w:val="auto"/>
          <w:sz w:val="21"/>
          <w:highlight w:val="none"/>
        </w:rPr>
      </w:pPr>
      <w:r>
        <w:rPr>
          <w:rFonts w:hint="eastAsia" w:ascii="Times New Roman"/>
          <w:color w:val="auto"/>
          <w:sz w:val="21"/>
          <w:szCs w:val="21"/>
          <w:highlight w:val="none"/>
          <w:lang w:val="en-US"/>
        </w:rPr>
        <w:t>投标报价</w:t>
      </w:r>
      <w:r>
        <w:rPr>
          <w:color w:val="auto"/>
          <w:spacing w:val="-3"/>
          <w:sz w:val="21"/>
          <w:highlight w:val="none"/>
        </w:rPr>
        <w:t>：见评标办法前附表。</w:t>
      </w:r>
    </w:p>
    <w:p>
      <w:pPr>
        <w:pStyle w:val="38"/>
        <w:numPr>
          <w:ilvl w:val="2"/>
          <w:numId w:val="9"/>
        </w:numPr>
        <w:tabs>
          <w:tab w:val="left" w:pos="1186"/>
        </w:tabs>
        <w:spacing w:before="133"/>
        <w:rPr>
          <w:color w:val="auto"/>
          <w:sz w:val="21"/>
          <w:highlight w:val="none"/>
        </w:rPr>
      </w:pPr>
      <w:r>
        <w:rPr>
          <w:color w:val="auto"/>
          <w:spacing w:val="-3"/>
          <w:sz w:val="21"/>
          <w:highlight w:val="none"/>
        </w:rPr>
        <w:t>评标基准价计算</w:t>
      </w:r>
    </w:p>
    <w:p>
      <w:pPr>
        <w:pStyle w:val="2"/>
        <w:spacing w:before="129"/>
        <w:ind w:left="660"/>
        <w:rPr>
          <w:color w:val="auto"/>
          <w:highlight w:val="none"/>
        </w:rPr>
      </w:pPr>
      <w:r>
        <w:rPr>
          <w:color w:val="auto"/>
          <w:highlight w:val="none"/>
        </w:rPr>
        <w:t>评标基准价计算方法：见评标办法前附表。</w:t>
      </w:r>
    </w:p>
    <w:p>
      <w:pPr>
        <w:pStyle w:val="38"/>
        <w:numPr>
          <w:ilvl w:val="2"/>
          <w:numId w:val="9"/>
        </w:numPr>
        <w:tabs>
          <w:tab w:val="left" w:pos="1186"/>
        </w:tabs>
        <w:spacing w:before="132"/>
        <w:rPr>
          <w:color w:val="auto"/>
          <w:sz w:val="21"/>
          <w:highlight w:val="none"/>
        </w:rPr>
      </w:pPr>
      <w:r>
        <w:rPr>
          <w:color w:val="auto"/>
          <w:spacing w:val="-3"/>
          <w:sz w:val="21"/>
          <w:highlight w:val="none"/>
        </w:rPr>
        <w:t>投标报价的偏差率计算</w:t>
      </w:r>
    </w:p>
    <w:p>
      <w:pPr>
        <w:pStyle w:val="2"/>
        <w:spacing w:before="132"/>
        <w:ind w:left="660"/>
        <w:rPr>
          <w:color w:val="auto"/>
          <w:highlight w:val="none"/>
        </w:rPr>
      </w:pPr>
      <w:r>
        <w:rPr>
          <w:rFonts w:hint="eastAsia" w:ascii="Times New Roman"/>
          <w:color w:val="auto"/>
          <w:highlight w:val="none"/>
          <w:lang w:val="en-US"/>
        </w:rPr>
        <w:t>投标报价</w:t>
      </w:r>
      <w:r>
        <w:rPr>
          <w:color w:val="auto"/>
          <w:highlight w:val="none"/>
        </w:rPr>
        <w:t>的偏差率计算公式：见评标办法前附表。</w:t>
      </w:r>
    </w:p>
    <w:p>
      <w:pPr>
        <w:pStyle w:val="38"/>
        <w:numPr>
          <w:ilvl w:val="2"/>
          <w:numId w:val="9"/>
        </w:numPr>
        <w:tabs>
          <w:tab w:val="left" w:pos="1186"/>
        </w:tabs>
        <w:spacing w:before="129"/>
        <w:rPr>
          <w:color w:val="auto"/>
          <w:sz w:val="21"/>
          <w:highlight w:val="none"/>
        </w:rPr>
      </w:pPr>
      <w:r>
        <w:rPr>
          <w:color w:val="auto"/>
          <w:spacing w:val="-2"/>
          <w:sz w:val="21"/>
          <w:highlight w:val="none"/>
        </w:rPr>
        <w:t>评分标准</w:t>
      </w:r>
    </w:p>
    <w:p>
      <w:pPr>
        <w:pStyle w:val="38"/>
        <w:numPr>
          <w:ilvl w:val="0"/>
          <w:numId w:val="11"/>
        </w:numPr>
        <w:tabs>
          <w:tab w:val="left" w:pos="1190"/>
        </w:tabs>
        <w:spacing w:before="132"/>
        <w:ind w:hanging="530"/>
        <w:rPr>
          <w:color w:val="auto"/>
          <w:sz w:val="21"/>
          <w:highlight w:val="none"/>
        </w:rPr>
      </w:pPr>
      <w:r>
        <w:rPr>
          <w:rFonts w:hint="eastAsia" w:ascii="Times New Roman"/>
          <w:color w:val="auto"/>
          <w:sz w:val="21"/>
          <w:szCs w:val="21"/>
          <w:highlight w:val="none"/>
          <w:lang w:val="en-US"/>
        </w:rPr>
        <w:t>商务部分</w:t>
      </w:r>
      <w:r>
        <w:rPr>
          <w:color w:val="auto"/>
          <w:spacing w:val="-3"/>
          <w:sz w:val="21"/>
          <w:highlight w:val="none"/>
        </w:rPr>
        <w:t>：见评标办法前附表；</w:t>
      </w:r>
    </w:p>
    <w:p>
      <w:pPr>
        <w:pStyle w:val="38"/>
        <w:numPr>
          <w:ilvl w:val="0"/>
          <w:numId w:val="11"/>
        </w:numPr>
        <w:tabs>
          <w:tab w:val="left" w:pos="1190"/>
        </w:tabs>
        <w:spacing w:before="132"/>
        <w:ind w:hanging="530"/>
        <w:rPr>
          <w:color w:val="auto"/>
          <w:spacing w:val="-3"/>
          <w:sz w:val="21"/>
          <w:highlight w:val="none"/>
          <w:lang w:val="en-US"/>
        </w:rPr>
      </w:pPr>
      <w:r>
        <w:rPr>
          <w:rFonts w:hint="eastAsia" w:ascii="Times New Roman"/>
          <w:color w:val="auto"/>
          <w:sz w:val="21"/>
          <w:szCs w:val="21"/>
          <w:highlight w:val="none"/>
          <w:lang w:val="en-US"/>
        </w:rPr>
        <w:t>服务方案</w:t>
      </w:r>
      <w:r>
        <w:rPr>
          <w:rFonts w:hint="eastAsia"/>
          <w:color w:val="auto"/>
          <w:spacing w:val="-3"/>
          <w:sz w:val="21"/>
          <w:highlight w:val="none"/>
          <w:lang w:val="en-US"/>
        </w:rPr>
        <w:t>：见评标办法前附表；</w:t>
      </w:r>
    </w:p>
    <w:p>
      <w:pPr>
        <w:pStyle w:val="38"/>
        <w:numPr>
          <w:ilvl w:val="0"/>
          <w:numId w:val="11"/>
        </w:numPr>
        <w:tabs>
          <w:tab w:val="left" w:pos="1190"/>
        </w:tabs>
        <w:spacing w:before="132"/>
        <w:ind w:hanging="530"/>
        <w:rPr>
          <w:color w:val="auto"/>
          <w:spacing w:val="-3"/>
          <w:sz w:val="21"/>
          <w:highlight w:val="none"/>
          <w:lang w:val="en-US"/>
        </w:rPr>
      </w:pPr>
      <w:r>
        <w:rPr>
          <w:rFonts w:hint="eastAsia" w:ascii="Times New Roman"/>
          <w:color w:val="auto"/>
          <w:sz w:val="21"/>
          <w:szCs w:val="21"/>
          <w:highlight w:val="none"/>
          <w:lang w:val="en-US"/>
        </w:rPr>
        <w:t>投标报价</w:t>
      </w:r>
      <w:r>
        <w:rPr>
          <w:rFonts w:hint="eastAsia"/>
          <w:color w:val="auto"/>
          <w:spacing w:val="-3"/>
          <w:sz w:val="21"/>
          <w:highlight w:val="none"/>
          <w:lang w:val="en-US"/>
        </w:rPr>
        <w:t>：见评标办法前附表。</w:t>
      </w:r>
      <w:bookmarkStart w:id="173" w:name="_bookmark91"/>
      <w:bookmarkEnd w:id="173"/>
      <w:bookmarkStart w:id="174" w:name="_Toc32204_WPSOffice_Level2"/>
    </w:p>
    <w:p>
      <w:pPr>
        <w:rPr>
          <w:color w:val="auto"/>
          <w:highlight w:val="none"/>
        </w:rPr>
      </w:pPr>
    </w:p>
    <w:p>
      <w:pPr>
        <w:pStyle w:val="38"/>
        <w:numPr>
          <w:ilvl w:val="0"/>
          <w:numId w:val="9"/>
        </w:numPr>
        <w:tabs>
          <w:tab w:val="left" w:pos="642"/>
        </w:tabs>
        <w:spacing w:line="525" w:lineRule="exact"/>
        <w:ind w:hanging="402"/>
        <w:rPr>
          <w:rFonts w:asciiTheme="majorEastAsia" w:hAnsiTheme="majorEastAsia" w:eastAsiaTheme="majorEastAsia"/>
          <w:b/>
          <w:color w:val="auto"/>
          <w:sz w:val="32"/>
          <w:highlight w:val="none"/>
        </w:rPr>
      </w:pPr>
      <w:r>
        <w:rPr>
          <w:rFonts w:hint="eastAsia" w:asciiTheme="majorEastAsia" w:hAnsiTheme="majorEastAsia" w:eastAsiaTheme="majorEastAsia"/>
          <w:b/>
          <w:color w:val="auto"/>
          <w:sz w:val="32"/>
          <w:highlight w:val="none"/>
        </w:rPr>
        <w:t>评标程序</w:t>
      </w:r>
      <w:bookmarkEnd w:id="174"/>
    </w:p>
    <w:p>
      <w:pPr>
        <w:pStyle w:val="2"/>
        <w:spacing w:before="10"/>
        <w:rPr>
          <w:rFonts w:ascii="Microsoft JhengHei"/>
          <w:b/>
          <w:color w:val="auto"/>
          <w:sz w:val="26"/>
          <w:highlight w:val="none"/>
        </w:rPr>
      </w:pPr>
    </w:p>
    <w:p>
      <w:pPr>
        <w:pStyle w:val="5"/>
        <w:numPr>
          <w:ilvl w:val="1"/>
          <w:numId w:val="9"/>
        </w:numPr>
        <w:tabs>
          <w:tab w:val="left" w:pos="867"/>
        </w:tabs>
        <w:rPr>
          <w:color w:val="auto"/>
          <w:highlight w:val="none"/>
        </w:rPr>
      </w:pPr>
      <w:bookmarkStart w:id="175" w:name="_bookmark92"/>
      <w:bookmarkEnd w:id="175"/>
      <w:bookmarkStart w:id="176" w:name="_Toc23135_WPSOffice_Level3"/>
      <w:r>
        <w:rPr>
          <w:color w:val="auto"/>
          <w:highlight w:val="none"/>
        </w:rPr>
        <w:t>初步评审</w:t>
      </w:r>
      <w:bookmarkEnd w:id="176"/>
    </w:p>
    <w:p>
      <w:pPr>
        <w:pStyle w:val="2"/>
        <w:spacing w:before="2"/>
        <w:rPr>
          <w:color w:val="auto"/>
          <w:sz w:val="29"/>
          <w:highlight w:val="none"/>
        </w:rPr>
      </w:pPr>
    </w:p>
    <w:p>
      <w:pPr>
        <w:pStyle w:val="38"/>
        <w:numPr>
          <w:ilvl w:val="2"/>
          <w:numId w:val="9"/>
        </w:numPr>
        <w:tabs>
          <w:tab w:val="left" w:pos="1186"/>
        </w:tabs>
        <w:spacing w:line="357" w:lineRule="auto"/>
        <w:ind w:left="240" w:right="591" w:firstLine="419"/>
        <w:rPr>
          <w:color w:val="auto"/>
          <w:sz w:val="21"/>
          <w:highlight w:val="none"/>
        </w:rPr>
      </w:pPr>
      <w:r>
        <w:rPr>
          <w:color w:val="auto"/>
          <w:sz w:val="21"/>
          <w:highlight w:val="none"/>
        </w:rPr>
        <w:t>评标委员会可以要求投标人提交第二章</w:t>
      </w:r>
      <w:r>
        <w:rPr>
          <w:rFonts w:ascii="Times New Roman" w:hAnsi="Times New Roman" w:eastAsia="Times New Roman"/>
          <w:color w:val="auto"/>
          <w:sz w:val="21"/>
          <w:highlight w:val="none"/>
        </w:rPr>
        <w:t>“</w:t>
      </w:r>
      <w:r>
        <w:rPr>
          <w:color w:val="auto"/>
          <w:sz w:val="21"/>
          <w:highlight w:val="none"/>
        </w:rPr>
        <w:t>投标人须知</w:t>
      </w:r>
      <w:r>
        <w:rPr>
          <w:rFonts w:ascii="Times New Roman" w:hAnsi="Times New Roman" w:eastAsia="Times New Roman"/>
          <w:color w:val="auto"/>
          <w:sz w:val="21"/>
          <w:highlight w:val="none"/>
        </w:rPr>
        <w:t>”</w:t>
      </w:r>
      <w:r>
        <w:rPr>
          <w:color w:val="auto"/>
          <w:spacing w:val="-1"/>
          <w:sz w:val="21"/>
          <w:highlight w:val="none"/>
        </w:rPr>
        <w:t xml:space="preserve">规定的有关证明和证件的原件， </w:t>
      </w:r>
      <w:r>
        <w:rPr>
          <w:color w:val="auto"/>
          <w:spacing w:val="-3"/>
          <w:sz w:val="21"/>
          <w:highlight w:val="none"/>
        </w:rPr>
        <w:t xml:space="preserve">以便核验。评标委员会依据本章第 </w:t>
      </w:r>
      <w:r>
        <w:rPr>
          <w:rFonts w:ascii="Times New Roman" w:hAnsi="Times New Roman" w:eastAsia="Times New Roman"/>
          <w:color w:val="auto"/>
          <w:sz w:val="21"/>
          <w:highlight w:val="none"/>
        </w:rPr>
        <w:t xml:space="preserve">2.1 </w:t>
      </w:r>
      <w:r>
        <w:rPr>
          <w:color w:val="auto"/>
          <w:spacing w:val="-3"/>
          <w:sz w:val="21"/>
          <w:highlight w:val="none"/>
        </w:rPr>
        <w:t>款规定的标准对投标文件进行初步评审。有一项不符合评审标准的，评标委员会应当否决其投标。</w:t>
      </w:r>
    </w:p>
    <w:p>
      <w:pPr>
        <w:pStyle w:val="38"/>
        <w:numPr>
          <w:ilvl w:val="2"/>
          <w:numId w:val="9"/>
        </w:numPr>
        <w:tabs>
          <w:tab w:val="left" w:pos="1186"/>
        </w:tabs>
        <w:spacing w:line="267" w:lineRule="exact"/>
        <w:rPr>
          <w:color w:val="auto"/>
          <w:sz w:val="21"/>
          <w:highlight w:val="none"/>
        </w:rPr>
      </w:pPr>
      <w:r>
        <w:rPr>
          <w:color w:val="auto"/>
          <w:spacing w:val="-3"/>
          <w:sz w:val="21"/>
          <w:highlight w:val="none"/>
        </w:rPr>
        <w:t>投标人有以下情形之一的，评标委员会应当否决其投标：</w:t>
      </w:r>
    </w:p>
    <w:p>
      <w:pPr>
        <w:pStyle w:val="38"/>
        <w:numPr>
          <w:ilvl w:val="0"/>
          <w:numId w:val="12"/>
        </w:numPr>
        <w:tabs>
          <w:tab w:val="left" w:pos="1190"/>
        </w:tabs>
        <w:spacing w:before="129" w:line="357" w:lineRule="auto"/>
        <w:ind w:right="691" w:firstLine="419"/>
        <w:rPr>
          <w:color w:val="auto"/>
          <w:sz w:val="21"/>
          <w:highlight w:val="none"/>
        </w:rPr>
      </w:pPr>
      <w:r>
        <w:rPr>
          <w:color w:val="auto"/>
          <w:spacing w:val="-5"/>
          <w:sz w:val="21"/>
          <w:highlight w:val="none"/>
        </w:rPr>
        <w:t>投标文件没有对招标文件的实质性要求和条件作出响应，或者对招标文件的偏差超</w:t>
      </w:r>
      <w:r>
        <w:rPr>
          <w:color w:val="auto"/>
          <w:spacing w:val="-3"/>
          <w:sz w:val="21"/>
          <w:highlight w:val="none"/>
        </w:rPr>
        <w:t>出招标文件规定的偏差范围或最高项数；</w:t>
      </w:r>
    </w:p>
    <w:p>
      <w:pPr>
        <w:pStyle w:val="38"/>
        <w:numPr>
          <w:ilvl w:val="0"/>
          <w:numId w:val="12"/>
        </w:numPr>
        <w:tabs>
          <w:tab w:val="left" w:pos="1190"/>
        </w:tabs>
        <w:spacing w:line="269" w:lineRule="exact"/>
        <w:ind w:left="1189" w:hanging="530"/>
        <w:rPr>
          <w:color w:val="auto"/>
          <w:sz w:val="21"/>
          <w:highlight w:val="none"/>
        </w:rPr>
      </w:pPr>
      <w:r>
        <w:rPr>
          <w:color w:val="auto"/>
          <w:spacing w:val="-3"/>
          <w:sz w:val="21"/>
          <w:highlight w:val="none"/>
        </w:rPr>
        <w:t>有串通投标、弄虚作假、行贿等违法行为。</w:t>
      </w:r>
    </w:p>
    <w:p>
      <w:pPr>
        <w:pStyle w:val="38"/>
        <w:numPr>
          <w:ilvl w:val="2"/>
          <w:numId w:val="9"/>
        </w:numPr>
        <w:tabs>
          <w:tab w:val="left" w:pos="1186"/>
        </w:tabs>
        <w:spacing w:before="130" w:line="357" w:lineRule="auto"/>
        <w:ind w:left="240" w:right="691" w:firstLine="419"/>
        <w:rPr>
          <w:color w:val="auto"/>
          <w:sz w:val="21"/>
          <w:highlight w:val="none"/>
        </w:rPr>
      </w:pPr>
      <w:r>
        <w:rPr>
          <w:color w:val="auto"/>
          <w:spacing w:val="-8"/>
          <w:sz w:val="21"/>
          <w:highlight w:val="none"/>
        </w:rPr>
        <w:t>投标报价有算术错误及其他错误的，评标委员会按以下原则要求投标人对投标报价进</w:t>
      </w:r>
      <w:r>
        <w:rPr>
          <w:color w:val="auto"/>
          <w:spacing w:val="-5"/>
          <w:sz w:val="21"/>
          <w:highlight w:val="none"/>
        </w:rPr>
        <w:t>行修正，并要求投标人书面澄清确认。投标人拒不澄清确认的，评标委员会应当否决其投标：</w:t>
      </w:r>
    </w:p>
    <w:p>
      <w:pPr>
        <w:pStyle w:val="38"/>
        <w:numPr>
          <w:ilvl w:val="0"/>
          <w:numId w:val="13"/>
        </w:numPr>
        <w:tabs>
          <w:tab w:val="left" w:pos="1190"/>
        </w:tabs>
        <w:spacing w:line="269" w:lineRule="exact"/>
        <w:ind w:hanging="530"/>
        <w:rPr>
          <w:color w:val="auto"/>
          <w:sz w:val="21"/>
          <w:highlight w:val="none"/>
        </w:rPr>
      </w:pPr>
      <w:r>
        <w:rPr>
          <w:color w:val="auto"/>
          <w:spacing w:val="-3"/>
          <w:sz w:val="21"/>
          <w:highlight w:val="none"/>
        </w:rPr>
        <w:t>投标文件中的大写金额与小写金额不一致的，以大写金额为准；</w:t>
      </w:r>
    </w:p>
    <w:p>
      <w:pPr>
        <w:pStyle w:val="38"/>
        <w:numPr>
          <w:ilvl w:val="0"/>
          <w:numId w:val="13"/>
        </w:numPr>
        <w:tabs>
          <w:tab w:val="left" w:pos="1187"/>
        </w:tabs>
        <w:spacing w:before="129" w:line="357" w:lineRule="auto"/>
        <w:ind w:left="240" w:right="693" w:firstLine="419"/>
        <w:rPr>
          <w:color w:val="auto"/>
          <w:sz w:val="21"/>
          <w:highlight w:val="none"/>
        </w:rPr>
      </w:pPr>
      <w:r>
        <w:rPr>
          <w:color w:val="auto"/>
          <w:spacing w:val="-6"/>
          <w:sz w:val="21"/>
          <w:highlight w:val="none"/>
        </w:rPr>
        <w:t>总价金额与单价金额不一致的，以单价金额为准，但单价金额小数点有明显错误的</w:t>
      </w:r>
      <w:r>
        <w:rPr>
          <w:color w:val="auto"/>
          <w:sz w:val="21"/>
          <w:highlight w:val="none"/>
        </w:rPr>
        <w:t>除外。</w:t>
      </w:r>
    </w:p>
    <w:p>
      <w:pPr>
        <w:pStyle w:val="5"/>
        <w:numPr>
          <w:ilvl w:val="1"/>
          <w:numId w:val="9"/>
        </w:numPr>
        <w:tabs>
          <w:tab w:val="left" w:pos="867"/>
        </w:tabs>
        <w:spacing w:before="151"/>
        <w:rPr>
          <w:color w:val="auto"/>
          <w:highlight w:val="none"/>
        </w:rPr>
      </w:pPr>
      <w:bookmarkStart w:id="177" w:name="_bookmark93"/>
      <w:bookmarkEnd w:id="177"/>
      <w:bookmarkStart w:id="178" w:name="_Toc18196_WPSOffice_Level3"/>
      <w:r>
        <w:rPr>
          <w:color w:val="auto"/>
          <w:highlight w:val="none"/>
        </w:rPr>
        <w:t>详细评审</w:t>
      </w:r>
      <w:bookmarkEnd w:id="178"/>
    </w:p>
    <w:p>
      <w:pPr>
        <w:pStyle w:val="2"/>
        <w:spacing w:before="2"/>
        <w:rPr>
          <w:color w:val="auto"/>
          <w:sz w:val="29"/>
          <w:highlight w:val="none"/>
        </w:rPr>
      </w:pPr>
    </w:p>
    <w:p>
      <w:pPr>
        <w:pStyle w:val="38"/>
        <w:numPr>
          <w:ilvl w:val="2"/>
          <w:numId w:val="9"/>
        </w:numPr>
        <w:tabs>
          <w:tab w:val="left" w:pos="1186"/>
        </w:tabs>
        <w:rPr>
          <w:color w:val="auto"/>
          <w:sz w:val="21"/>
          <w:highlight w:val="none"/>
        </w:rPr>
      </w:pPr>
      <w:r>
        <w:rPr>
          <w:color w:val="auto"/>
          <w:spacing w:val="-9"/>
          <w:sz w:val="21"/>
          <w:highlight w:val="none"/>
        </w:rPr>
        <w:t xml:space="preserve">评标委员会按本章第 </w:t>
      </w:r>
      <w:r>
        <w:rPr>
          <w:rFonts w:ascii="Times New Roman" w:eastAsia="Times New Roman"/>
          <w:color w:val="auto"/>
          <w:sz w:val="21"/>
          <w:highlight w:val="none"/>
        </w:rPr>
        <w:t>2.2</w:t>
      </w:r>
      <w:r>
        <w:rPr>
          <w:rFonts w:ascii="Times New Roman" w:eastAsia="Times New Roman"/>
          <w:color w:val="auto"/>
          <w:spacing w:val="-9"/>
          <w:sz w:val="21"/>
          <w:highlight w:val="none"/>
        </w:rPr>
        <w:t xml:space="preserve"> </w:t>
      </w:r>
      <w:r>
        <w:rPr>
          <w:color w:val="auto"/>
          <w:spacing w:val="-10"/>
          <w:sz w:val="21"/>
          <w:highlight w:val="none"/>
        </w:rPr>
        <w:t>款规定的量化因素和分值进行打分，并计算出综合评估得分。</w:t>
      </w:r>
    </w:p>
    <w:p>
      <w:pPr>
        <w:pStyle w:val="38"/>
        <w:numPr>
          <w:ilvl w:val="2"/>
          <w:numId w:val="9"/>
        </w:numPr>
        <w:tabs>
          <w:tab w:val="left" w:pos="1186"/>
        </w:tabs>
        <w:spacing w:before="132"/>
        <w:rPr>
          <w:color w:val="auto"/>
          <w:sz w:val="21"/>
          <w:highlight w:val="none"/>
        </w:rPr>
      </w:pPr>
      <w:r>
        <w:rPr>
          <w:color w:val="auto"/>
          <w:spacing w:val="-3"/>
          <w:sz w:val="21"/>
          <w:highlight w:val="none"/>
        </w:rPr>
        <w:t>评分分值计算保留小数点后两位，小数点后第三位</w:t>
      </w:r>
      <w:r>
        <w:rPr>
          <w:rFonts w:ascii="Times New Roman" w:hAnsi="Times New Roman" w:eastAsia="Times New Roman"/>
          <w:color w:val="auto"/>
          <w:spacing w:val="-3"/>
          <w:sz w:val="21"/>
          <w:highlight w:val="none"/>
        </w:rPr>
        <w:t>“</w:t>
      </w:r>
      <w:r>
        <w:rPr>
          <w:color w:val="auto"/>
          <w:spacing w:val="-2"/>
          <w:sz w:val="21"/>
          <w:highlight w:val="none"/>
        </w:rPr>
        <w:t>四舍五入</w:t>
      </w:r>
      <w:r>
        <w:rPr>
          <w:rFonts w:ascii="Times New Roman" w:hAnsi="Times New Roman" w:eastAsia="Times New Roman"/>
          <w:color w:val="auto"/>
          <w:spacing w:val="-3"/>
          <w:sz w:val="21"/>
          <w:highlight w:val="none"/>
        </w:rPr>
        <w:t>”</w:t>
      </w:r>
      <w:r>
        <w:rPr>
          <w:color w:val="auto"/>
          <w:sz w:val="21"/>
          <w:highlight w:val="none"/>
        </w:rPr>
        <w:t>。</w:t>
      </w:r>
    </w:p>
    <w:p>
      <w:pPr>
        <w:pStyle w:val="38"/>
        <w:numPr>
          <w:ilvl w:val="2"/>
          <w:numId w:val="9"/>
        </w:numPr>
        <w:tabs>
          <w:tab w:val="left" w:pos="1186"/>
        </w:tabs>
        <w:spacing w:before="130" w:line="357" w:lineRule="auto"/>
        <w:ind w:left="240" w:right="691" w:firstLine="419"/>
        <w:jc w:val="both"/>
        <w:rPr>
          <w:color w:val="auto"/>
          <w:sz w:val="21"/>
          <w:highlight w:val="none"/>
        </w:rPr>
      </w:pPr>
      <w:r>
        <w:rPr>
          <w:color w:val="auto"/>
          <w:spacing w:val="-7"/>
          <w:sz w:val="21"/>
          <w:highlight w:val="none"/>
        </w:rPr>
        <w:t>评标委员会发现投标人的报价明显低于其他投标报价，使得其投标报价可能低于其个别成本的，应当要求该投标人作出书面说明并提供相应的证明材料。投标人不能合理说明或者</w:t>
      </w:r>
      <w:r>
        <w:rPr>
          <w:color w:val="auto"/>
          <w:spacing w:val="-15"/>
          <w:sz w:val="21"/>
          <w:highlight w:val="none"/>
        </w:rPr>
        <w:t>不能提供相应证明材料的，评标委员会应当认定该投标人以低于成本报价竞标，并否决其投标。</w:t>
      </w:r>
    </w:p>
    <w:p>
      <w:pPr>
        <w:pStyle w:val="38"/>
        <w:numPr>
          <w:ilvl w:val="1"/>
          <w:numId w:val="9"/>
        </w:numPr>
        <w:tabs>
          <w:tab w:val="left" w:pos="867"/>
        </w:tabs>
        <w:spacing w:before="148"/>
        <w:rPr>
          <w:color w:val="auto"/>
          <w:sz w:val="28"/>
          <w:highlight w:val="none"/>
        </w:rPr>
      </w:pPr>
      <w:bookmarkStart w:id="179" w:name="_bookmark94"/>
      <w:bookmarkEnd w:id="179"/>
      <w:bookmarkStart w:id="180" w:name="_Toc4455_WPSOffice_Level3"/>
      <w:r>
        <w:rPr>
          <w:color w:val="auto"/>
          <w:spacing w:val="-1"/>
          <w:sz w:val="28"/>
          <w:highlight w:val="none"/>
        </w:rPr>
        <w:t>投标文件的澄清</w:t>
      </w:r>
      <w:bookmarkEnd w:id="180"/>
    </w:p>
    <w:p>
      <w:pPr>
        <w:pStyle w:val="38"/>
        <w:tabs>
          <w:tab w:val="left" w:pos="1186"/>
        </w:tabs>
        <w:spacing w:line="357" w:lineRule="auto"/>
        <w:ind w:left="659" w:right="693" w:firstLine="0"/>
        <w:rPr>
          <w:color w:val="auto"/>
          <w:spacing w:val="-2"/>
          <w:sz w:val="21"/>
          <w:highlight w:val="none"/>
        </w:rPr>
      </w:pPr>
    </w:p>
    <w:p>
      <w:pPr>
        <w:pStyle w:val="38"/>
        <w:numPr>
          <w:ilvl w:val="2"/>
          <w:numId w:val="9"/>
        </w:numPr>
        <w:tabs>
          <w:tab w:val="left" w:pos="1186"/>
        </w:tabs>
        <w:spacing w:line="357" w:lineRule="auto"/>
        <w:ind w:left="240" w:right="693" w:firstLine="419"/>
        <w:rPr>
          <w:color w:val="auto"/>
          <w:spacing w:val="-2"/>
          <w:sz w:val="21"/>
          <w:highlight w:val="none"/>
        </w:rPr>
      </w:pPr>
      <w:r>
        <w:rPr>
          <w:color w:val="auto"/>
          <w:spacing w:val="-2"/>
          <w:sz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8"/>
        <w:numPr>
          <w:ilvl w:val="2"/>
          <w:numId w:val="9"/>
        </w:numPr>
        <w:tabs>
          <w:tab w:val="left" w:pos="1186"/>
        </w:tabs>
        <w:spacing w:line="357" w:lineRule="auto"/>
        <w:ind w:left="240" w:right="693" w:firstLine="419"/>
        <w:rPr>
          <w:color w:val="auto"/>
          <w:spacing w:val="-2"/>
          <w:sz w:val="21"/>
          <w:highlight w:val="none"/>
        </w:rPr>
      </w:pPr>
      <w:r>
        <w:rPr>
          <w:color w:val="auto"/>
          <w:spacing w:val="-2"/>
          <w:sz w:val="21"/>
          <w:highlight w:val="none"/>
        </w:rPr>
        <w:t>澄清、说明或补正不得超出投标文件的范围且不得改变投标文件的实质性内容，并构成投标文件的组成部分。</w:t>
      </w:r>
    </w:p>
    <w:p>
      <w:pPr>
        <w:pStyle w:val="38"/>
        <w:numPr>
          <w:ilvl w:val="2"/>
          <w:numId w:val="9"/>
        </w:numPr>
        <w:tabs>
          <w:tab w:val="left" w:pos="1186"/>
        </w:tabs>
        <w:spacing w:line="357" w:lineRule="auto"/>
        <w:ind w:left="240" w:right="693" w:firstLine="419"/>
        <w:rPr>
          <w:color w:val="auto"/>
          <w:spacing w:val="-2"/>
          <w:sz w:val="21"/>
          <w:highlight w:val="none"/>
        </w:rPr>
      </w:pPr>
      <w:r>
        <w:rPr>
          <w:color w:val="auto"/>
          <w:spacing w:val="-2"/>
          <w:sz w:val="21"/>
          <w:highlight w:val="none"/>
        </w:rPr>
        <w:t>评标委员会对投标人提交的澄清、说明或补正有疑问的，可以要求投标人进一步澄清、说明或补正，直至满足评标委员会的要求。</w:t>
      </w:r>
    </w:p>
    <w:p>
      <w:pPr>
        <w:pStyle w:val="5"/>
        <w:numPr>
          <w:ilvl w:val="1"/>
          <w:numId w:val="9"/>
        </w:numPr>
        <w:tabs>
          <w:tab w:val="left" w:pos="867"/>
        </w:tabs>
        <w:spacing w:before="151"/>
        <w:rPr>
          <w:color w:val="auto"/>
          <w:highlight w:val="none"/>
        </w:rPr>
      </w:pPr>
      <w:bookmarkStart w:id="181" w:name="_bookmark95"/>
      <w:bookmarkEnd w:id="181"/>
      <w:bookmarkStart w:id="182" w:name="_Toc649_WPSOffice_Level3"/>
      <w:r>
        <w:rPr>
          <w:color w:val="auto"/>
          <w:highlight w:val="none"/>
        </w:rPr>
        <w:t>评标结果</w:t>
      </w:r>
      <w:bookmarkEnd w:id="182"/>
    </w:p>
    <w:p>
      <w:pPr>
        <w:pStyle w:val="2"/>
        <w:spacing w:before="3"/>
        <w:rPr>
          <w:color w:val="auto"/>
          <w:sz w:val="29"/>
          <w:highlight w:val="none"/>
        </w:rPr>
      </w:pPr>
    </w:p>
    <w:p>
      <w:pPr>
        <w:pStyle w:val="38"/>
        <w:numPr>
          <w:ilvl w:val="2"/>
          <w:numId w:val="9"/>
        </w:numPr>
        <w:tabs>
          <w:tab w:val="left" w:pos="1186"/>
        </w:tabs>
        <w:spacing w:line="357" w:lineRule="auto"/>
        <w:ind w:left="240" w:right="693" w:firstLine="419"/>
        <w:rPr>
          <w:color w:val="auto"/>
          <w:sz w:val="21"/>
          <w:highlight w:val="none"/>
        </w:rPr>
      </w:pPr>
      <w:r>
        <w:rPr>
          <w:color w:val="auto"/>
          <w:spacing w:val="-2"/>
          <w:sz w:val="21"/>
          <w:highlight w:val="none"/>
        </w:rPr>
        <w:t>除第二章</w:t>
      </w:r>
      <w:r>
        <w:rPr>
          <w:rFonts w:ascii="Times New Roman" w:hAnsi="Times New Roman" w:eastAsia="Times New Roman"/>
          <w:color w:val="auto"/>
          <w:spacing w:val="-3"/>
          <w:sz w:val="21"/>
          <w:highlight w:val="none"/>
        </w:rPr>
        <w:t>“</w:t>
      </w:r>
      <w:r>
        <w:rPr>
          <w:color w:val="auto"/>
          <w:spacing w:val="-3"/>
          <w:sz w:val="21"/>
          <w:highlight w:val="none"/>
        </w:rPr>
        <w:t>投标人须知</w:t>
      </w:r>
      <w:r>
        <w:rPr>
          <w:rFonts w:ascii="Times New Roman" w:hAnsi="Times New Roman" w:eastAsia="Times New Roman"/>
          <w:color w:val="auto"/>
          <w:sz w:val="21"/>
          <w:highlight w:val="none"/>
        </w:rPr>
        <w:t>”</w:t>
      </w:r>
      <w:r>
        <w:rPr>
          <w:color w:val="auto"/>
          <w:spacing w:val="-7"/>
          <w:sz w:val="21"/>
          <w:highlight w:val="none"/>
        </w:rPr>
        <w:t>前附表授权直接确定中标人外，评标委员会按照得分由高到低</w:t>
      </w:r>
      <w:r>
        <w:rPr>
          <w:color w:val="auto"/>
          <w:spacing w:val="-5"/>
          <w:sz w:val="21"/>
          <w:highlight w:val="none"/>
        </w:rPr>
        <w:t>的顺序推荐中标候选人，并标明排序。</w:t>
      </w:r>
    </w:p>
    <w:p>
      <w:pPr>
        <w:pStyle w:val="38"/>
        <w:numPr>
          <w:ilvl w:val="-1"/>
          <w:numId w:val="0"/>
        </w:numPr>
        <w:tabs>
          <w:tab w:val="left" w:pos="1186"/>
        </w:tabs>
        <w:spacing w:line="360" w:lineRule="auto"/>
        <w:ind w:left="0" w:firstLine="612" w:firstLineChars="300"/>
        <w:rPr>
          <w:color w:val="auto"/>
          <w:sz w:val="21"/>
          <w:highlight w:val="none"/>
        </w:rPr>
      </w:pPr>
      <w:r>
        <w:rPr>
          <w:rFonts w:hint="eastAsia"/>
          <w:color w:val="auto"/>
          <w:spacing w:val="-3"/>
          <w:sz w:val="21"/>
          <w:highlight w:val="none"/>
          <w:lang w:val="en-US" w:eastAsia="zh-CN"/>
        </w:rPr>
        <w:t>3.4.2</w:t>
      </w:r>
      <w:r>
        <w:rPr>
          <w:color w:val="auto"/>
          <w:spacing w:val="-3"/>
          <w:sz w:val="21"/>
          <w:highlight w:val="none"/>
        </w:rPr>
        <w:t>评标委员会完成评标后，应当向招标人提交书面评标报告和中标候选人名单。</w:t>
      </w:r>
    </w:p>
    <w:p>
      <w:pPr>
        <w:pStyle w:val="38"/>
        <w:tabs>
          <w:tab w:val="left" w:pos="1186"/>
        </w:tabs>
        <w:spacing w:line="360" w:lineRule="auto"/>
        <w:ind w:left="0" w:firstLine="0"/>
        <w:rPr>
          <w:color w:val="auto"/>
          <w:sz w:val="21"/>
          <w:highlight w:val="none"/>
        </w:rPr>
      </w:pPr>
    </w:p>
    <w:p>
      <w:pPr>
        <w:widowControl/>
        <w:autoSpaceDE/>
        <w:autoSpaceDN/>
        <w:rPr>
          <w:rStyle w:val="49"/>
          <w:rFonts w:cs="宋体" w:asciiTheme="majorEastAsia" w:hAnsiTheme="majorEastAsia" w:eastAsiaTheme="majorEastAsia"/>
          <w:color w:val="auto"/>
          <w:highlight w:val="none"/>
          <w:lang w:val="en-US"/>
        </w:rPr>
      </w:pPr>
      <w:bookmarkStart w:id="183" w:name="_Toc5247"/>
      <w:r>
        <w:rPr>
          <w:rStyle w:val="49"/>
          <w:rFonts w:cs="宋体" w:asciiTheme="majorEastAsia" w:hAnsiTheme="majorEastAsia" w:eastAsiaTheme="majorEastAsia"/>
          <w:b w:val="0"/>
          <w:bCs w:val="0"/>
          <w:color w:val="auto"/>
          <w:highlight w:val="none"/>
          <w:lang w:val="en-US"/>
        </w:rPr>
        <w:br w:type="page"/>
      </w:r>
    </w:p>
    <w:p>
      <w:pPr>
        <w:pStyle w:val="3"/>
        <w:rPr>
          <w:rStyle w:val="49"/>
          <w:rFonts w:cs="宋体" w:asciiTheme="majorEastAsia" w:hAnsiTheme="majorEastAsia" w:eastAsiaTheme="majorEastAsia"/>
          <w:b/>
          <w:bCs/>
          <w:color w:val="auto"/>
          <w:highlight w:val="none"/>
          <w:lang w:val="en-US"/>
        </w:rPr>
      </w:pPr>
      <w:bookmarkStart w:id="184" w:name="_Toc72847674"/>
      <w:r>
        <w:rPr>
          <w:rStyle w:val="49"/>
          <w:rFonts w:hint="eastAsia" w:cs="宋体" w:asciiTheme="majorEastAsia" w:hAnsiTheme="majorEastAsia" w:eastAsiaTheme="majorEastAsia"/>
          <w:b/>
          <w:bCs/>
          <w:color w:val="auto"/>
          <w:highlight w:val="none"/>
          <w:lang w:val="en-US"/>
        </w:rPr>
        <w:t>第四章 合同</w:t>
      </w:r>
      <w:bookmarkEnd w:id="183"/>
      <w:bookmarkEnd w:id="184"/>
    </w:p>
    <w:p>
      <w:pPr>
        <w:spacing w:before="120" w:beforeLines="50" w:after="120" w:afterLines="50"/>
        <w:jc w:val="center"/>
        <w:rPr>
          <w:b/>
          <w:color w:val="auto"/>
          <w:sz w:val="28"/>
          <w:szCs w:val="28"/>
          <w:highlight w:val="none"/>
        </w:rPr>
      </w:pPr>
      <w:r>
        <w:rPr>
          <w:rStyle w:val="49"/>
          <w:rFonts w:ascii="宋体" w:hAnsi="宋体" w:eastAsia="宋体" w:cs="宋体"/>
          <w:b w:val="0"/>
          <w:bCs w:val="0"/>
          <w:color w:val="auto"/>
          <w:highlight w:val="none"/>
          <w:lang w:val="en-US"/>
        </w:rPr>
        <w:br w:type="page"/>
      </w:r>
      <w:bookmarkStart w:id="185" w:name="_Toc21922"/>
      <w:r>
        <w:rPr>
          <w:rFonts w:hint="eastAsia" w:ascii="方正小标宋简体" w:hAnsi="方正小标宋简体" w:eastAsia="方正小标宋简体" w:cs="方正小标宋简体"/>
          <w:bCs/>
          <w:color w:val="auto"/>
          <w:sz w:val="44"/>
          <w:szCs w:val="44"/>
          <w:highlight w:val="none"/>
        </w:rPr>
        <w:t xml:space="preserve">  </w:t>
      </w:r>
      <w:r>
        <w:rPr>
          <w:rFonts w:hint="eastAsia"/>
          <w:b/>
          <w:color w:val="auto"/>
          <w:sz w:val="28"/>
          <w:szCs w:val="28"/>
          <w:highlight w:val="none"/>
        </w:rPr>
        <w:t>合同条款</w:t>
      </w:r>
    </w:p>
    <w:p>
      <w:pPr>
        <w:tabs>
          <w:tab w:val="left" w:pos="5220"/>
          <w:tab w:val="left" w:pos="5400"/>
          <w:tab w:val="left" w:pos="5580"/>
        </w:tabs>
        <w:spacing w:before="120" w:beforeLines="50" w:after="120" w:afterLines="50" w:line="360" w:lineRule="auto"/>
        <w:rPr>
          <w:b/>
          <w:color w:val="auto"/>
          <w:sz w:val="24"/>
          <w:highlight w:val="none"/>
        </w:rPr>
      </w:pPr>
      <w:r>
        <w:rPr>
          <w:rFonts w:hint="eastAsia"/>
          <w:b/>
          <w:color w:val="auto"/>
          <w:sz w:val="24"/>
          <w:highlight w:val="none"/>
        </w:rPr>
        <w:t>1．定义和解释</w:t>
      </w:r>
    </w:p>
    <w:p>
      <w:pPr>
        <w:spacing w:line="360" w:lineRule="auto"/>
        <w:rPr>
          <w:color w:val="auto"/>
          <w:szCs w:val="21"/>
          <w:highlight w:val="none"/>
        </w:rPr>
      </w:pPr>
      <w:r>
        <w:rPr>
          <w:rFonts w:hint="eastAsia"/>
          <w:b/>
          <w:color w:val="auto"/>
          <w:szCs w:val="21"/>
          <w:highlight w:val="none"/>
        </w:rPr>
        <w:t>发包人：项目业主</w:t>
      </w:r>
      <w:r>
        <w:rPr>
          <w:rFonts w:hint="eastAsia"/>
          <w:color w:val="auto"/>
          <w:szCs w:val="21"/>
          <w:highlight w:val="none"/>
        </w:rPr>
        <w:t xml:space="preserve">  </w:t>
      </w:r>
      <w:r>
        <w:rPr>
          <w:rFonts w:hint="eastAsia" w:cs="Courier New"/>
          <w:color w:val="auto"/>
          <w:highlight w:val="none"/>
          <w:lang w:val="en-US"/>
        </w:rPr>
        <w:t>四川都金山地轨道交通有限责任公司</w:t>
      </w:r>
      <w:r>
        <w:rPr>
          <w:rFonts w:hint="eastAsia"/>
          <w:color w:val="auto"/>
          <w:szCs w:val="21"/>
          <w:highlight w:val="none"/>
          <w:u w:val="single"/>
        </w:rPr>
        <w:t>（以下简称发包人）。</w:t>
      </w:r>
    </w:p>
    <w:p>
      <w:pPr>
        <w:spacing w:line="360" w:lineRule="auto"/>
        <w:rPr>
          <w:b/>
          <w:color w:val="auto"/>
          <w:sz w:val="24"/>
          <w:highlight w:val="none"/>
          <w:u w:val="single"/>
        </w:rPr>
      </w:pPr>
      <w:r>
        <w:rPr>
          <w:rFonts w:hint="eastAsia"/>
          <w:b/>
          <w:bCs/>
          <w:color w:val="auto"/>
          <w:szCs w:val="21"/>
          <w:highlight w:val="none"/>
        </w:rPr>
        <w:t>承包人：物业管理服务</w:t>
      </w:r>
      <w:r>
        <w:rPr>
          <w:rFonts w:hint="eastAsia"/>
          <w:b/>
          <w:color w:val="auto"/>
          <w:szCs w:val="21"/>
          <w:highlight w:val="none"/>
        </w:rPr>
        <w:t xml:space="preserve">单位 </w:t>
      </w:r>
      <w:r>
        <w:rPr>
          <w:rFonts w:hint="eastAsia"/>
          <w:bCs/>
          <w:color w:val="auto"/>
          <w:szCs w:val="21"/>
          <w:highlight w:val="none"/>
        </w:rPr>
        <w:t>是指按本招标文件要求进行投标，其投标文件评审通过，</w:t>
      </w:r>
      <w:r>
        <w:rPr>
          <w:rFonts w:hint="eastAsia"/>
          <w:color w:val="auto"/>
          <w:szCs w:val="21"/>
          <w:highlight w:val="none"/>
        </w:rPr>
        <w:t>承担</w:t>
      </w:r>
      <w:r>
        <w:rPr>
          <w:rFonts w:hint="eastAsia" w:cs="Courier New"/>
          <w:color w:val="auto"/>
          <w:highlight w:val="none"/>
          <w:lang w:val="en-US"/>
        </w:rPr>
        <w:t>四川都金山地轨道交通</w:t>
      </w:r>
      <w:r>
        <w:rPr>
          <w:rFonts w:hint="eastAsia" w:cs="Courier New"/>
          <w:color w:val="auto"/>
          <w:spacing w:val="-4"/>
          <w:kern w:val="2"/>
          <w:sz w:val="21"/>
          <w:szCs w:val="21"/>
          <w:highlight w:val="none"/>
          <w:lang w:val="en-US" w:eastAsia="zh-CN" w:bidi="ar-SA"/>
        </w:rPr>
        <w:t>物业</w:t>
      </w:r>
      <w:r>
        <w:rPr>
          <w:rFonts w:hint="eastAsia" w:cs="Courier New"/>
          <w:color w:val="auto"/>
          <w:spacing w:val="-4"/>
          <w:kern w:val="2"/>
          <w:sz w:val="21"/>
          <w:szCs w:val="21"/>
          <w:highlight w:val="none"/>
          <w:lang w:val="en-US" w:bidi="ar-SA"/>
        </w:rPr>
        <w:t>服务</w:t>
      </w:r>
      <w:r>
        <w:rPr>
          <w:rFonts w:hint="eastAsia" w:cs="Courier New"/>
          <w:color w:val="auto"/>
          <w:highlight w:val="none"/>
          <w:lang w:val="en-US"/>
        </w:rPr>
        <w:t>项目</w:t>
      </w:r>
      <w:r>
        <w:rPr>
          <w:rFonts w:hint="eastAsia"/>
          <w:color w:val="auto"/>
          <w:szCs w:val="21"/>
          <w:highlight w:val="none"/>
        </w:rPr>
        <w:t>的</w:t>
      </w:r>
      <w:r>
        <w:rPr>
          <w:rFonts w:hint="eastAsia"/>
          <w:color w:val="auto"/>
          <w:highlight w:val="none"/>
        </w:rPr>
        <w:t>单位</w:t>
      </w:r>
      <w:r>
        <w:rPr>
          <w:rFonts w:hint="eastAsia"/>
          <w:color w:val="auto"/>
          <w:szCs w:val="21"/>
          <w:highlight w:val="none"/>
        </w:rPr>
        <w:t>（以下简称承包人）。</w:t>
      </w:r>
    </w:p>
    <w:p>
      <w:pPr>
        <w:numPr>
          <w:ilvl w:val="0"/>
          <w:numId w:val="14"/>
        </w:numPr>
        <w:spacing w:before="120" w:beforeLines="50" w:after="120" w:afterLines="50" w:line="360" w:lineRule="auto"/>
        <w:rPr>
          <w:b/>
          <w:color w:val="auto"/>
          <w:sz w:val="24"/>
          <w:highlight w:val="none"/>
          <w:lang w:val="en-US"/>
        </w:rPr>
      </w:pPr>
      <w:bookmarkStart w:id="186" w:name="OLE_LINK3"/>
      <w:r>
        <w:rPr>
          <w:rFonts w:hint="eastAsia"/>
          <w:b/>
          <w:color w:val="auto"/>
          <w:sz w:val="24"/>
          <w:highlight w:val="none"/>
          <w:lang w:val="en-US"/>
        </w:rPr>
        <w:t>物业服务项目基本情况</w:t>
      </w:r>
    </w:p>
    <w:p>
      <w:pPr>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委托的物业服务项目地点：都江堰市观景路833号。</w:t>
      </w:r>
    </w:p>
    <w:p>
      <w:pPr>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服务建筑面积：</w:t>
      </w:r>
      <w:r>
        <w:rPr>
          <w:rFonts w:hint="eastAsia" w:cs="Courier New"/>
          <w:color w:val="auto"/>
          <w:kern w:val="2"/>
          <w:sz w:val="21"/>
          <w:szCs w:val="21"/>
          <w:highlight w:val="none"/>
          <w:u w:val="single"/>
          <w:lang w:val="en-US" w:bidi="ar-SA"/>
        </w:rPr>
        <w:t>6000平米</w:t>
      </w:r>
      <w:r>
        <w:rPr>
          <w:rFonts w:hint="eastAsia" w:cs="Courier New"/>
          <w:color w:val="auto"/>
          <w:kern w:val="2"/>
          <w:sz w:val="21"/>
          <w:szCs w:val="21"/>
          <w:highlight w:val="none"/>
          <w:lang w:val="en-US" w:bidi="ar-SA"/>
        </w:rPr>
        <w:t>。</w:t>
      </w:r>
    </w:p>
    <w:p>
      <w:pPr>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物业类型：办公</w:t>
      </w:r>
      <w:r>
        <w:rPr>
          <w:rFonts w:hint="eastAsia" w:cs="Courier New"/>
          <w:color w:val="auto"/>
          <w:kern w:val="2"/>
          <w:sz w:val="21"/>
          <w:szCs w:val="21"/>
          <w:highlight w:val="none"/>
          <w:lang w:val="en-US" w:eastAsia="zh-CN" w:bidi="ar-SA"/>
        </w:rPr>
        <w:t>区后勤服务项目</w:t>
      </w:r>
      <w:r>
        <w:rPr>
          <w:rFonts w:hint="eastAsia" w:cs="Courier New"/>
          <w:color w:val="auto"/>
          <w:kern w:val="2"/>
          <w:sz w:val="21"/>
          <w:szCs w:val="21"/>
          <w:highlight w:val="none"/>
          <w:lang w:val="en-US" w:bidi="ar-SA"/>
        </w:rPr>
        <w:t>物业</w:t>
      </w:r>
    </w:p>
    <w:p>
      <w:pPr>
        <w:spacing w:before="120" w:beforeLines="50" w:after="120" w:afterLines="50" w:line="360" w:lineRule="auto"/>
        <w:rPr>
          <w:b/>
          <w:color w:val="auto"/>
          <w:sz w:val="24"/>
          <w:highlight w:val="none"/>
        </w:rPr>
      </w:pPr>
      <w:r>
        <w:rPr>
          <w:rFonts w:hint="eastAsia"/>
          <w:b/>
          <w:color w:val="auto"/>
          <w:sz w:val="24"/>
          <w:highlight w:val="none"/>
          <w:lang w:val="en-US"/>
        </w:rPr>
        <w:t>3.</w:t>
      </w:r>
      <w:r>
        <w:rPr>
          <w:rFonts w:hint="eastAsia"/>
          <w:b/>
          <w:color w:val="auto"/>
          <w:sz w:val="24"/>
          <w:highlight w:val="none"/>
        </w:rPr>
        <w:t>服务的范围与内容</w:t>
      </w:r>
    </w:p>
    <w:p>
      <w:pPr>
        <w:spacing w:line="360" w:lineRule="auto"/>
        <w:ind w:firstLine="440" w:firstLineChars="200"/>
        <w:rPr>
          <w:b/>
          <w:color w:val="auto"/>
          <w:szCs w:val="21"/>
          <w:highlight w:val="none"/>
        </w:rPr>
      </w:pPr>
      <w:r>
        <w:rPr>
          <w:rFonts w:hint="eastAsia"/>
          <w:b/>
          <w:color w:val="auto"/>
          <w:szCs w:val="21"/>
          <w:highlight w:val="none"/>
          <w:lang w:val="en-US"/>
        </w:rPr>
        <w:t>3</w:t>
      </w:r>
      <w:r>
        <w:rPr>
          <w:rFonts w:hint="eastAsia"/>
          <w:b/>
          <w:color w:val="auto"/>
          <w:szCs w:val="21"/>
          <w:highlight w:val="none"/>
        </w:rPr>
        <w:t>.1服务范围及内容</w:t>
      </w:r>
    </w:p>
    <w:p>
      <w:pPr>
        <w:ind w:firstLine="440" w:firstLineChars="200"/>
        <w:rPr>
          <w:rFonts w:cs="Courier New"/>
          <w:color w:val="auto"/>
          <w:highlight w:val="none"/>
          <w:lang w:val="en-US"/>
        </w:rPr>
      </w:pPr>
      <w:r>
        <w:rPr>
          <w:rFonts w:hint="eastAsia"/>
          <w:color w:val="auto"/>
          <w:highlight w:val="none"/>
        </w:rPr>
        <w:t>WY标段主要工作内容包括：</w:t>
      </w:r>
      <w:r>
        <w:rPr>
          <w:rFonts w:hint="eastAsia" w:cs="Courier New"/>
          <w:color w:val="auto"/>
          <w:highlight w:val="none"/>
          <w:lang w:val="en-US"/>
        </w:rPr>
        <w:t>四川都金山地轨道交通</w:t>
      </w:r>
      <w:r>
        <w:rPr>
          <w:rFonts w:hint="eastAsia" w:cs="Courier New"/>
          <w:color w:val="auto"/>
          <w:spacing w:val="-4"/>
          <w:kern w:val="2"/>
          <w:sz w:val="21"/>
          <w:szCs w:val="21"/>
          <w:highlight w:val="none"/>
          <w:lang w:val="en-US" w:eastAsia="zh-CN" w:bidi="ar-SA"/>
        </w:rPr>
        <w:t>物业</w:t>
      </w:r>
      <w:r>
        <w:rPr>
          <w:rFonts w:hint="eastAsia" w:cs="Courier New"/>
          <w:color w:val="auto"/>
          <w:spacing w:val="-4"/>
          <w:kern w:val="2"/>
          <w:sz w:val="21"/>
          <w:szCs w:val="21"/>
          <w:highlight w:val="none"/>
          <w:lang w:val="en-US" w:bidi="ar-SA"/>
        </w:rPr>
        <w:t>服务，包括：后勤管理、前台客服接待及会务服务、食堂服务、小车班驾驶服务</w:t>
      </w:r>
      <w:r>
        <w:rPr>
          <w:rFonts w:hint="eastAsia" w:cs="Courier New"/>
          <w:color w:val="auto"/>
          <w:highlight w:val="none"/>
          <w:lang w:val="en-US"/>
        </w:rPr>
        <w:t>，具体内容如下：</w:t>
      </w:r>
    </w:p>
    <w:p>
      <w:pPr>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1、后勤管理服务：根据甲方四川都金山地轨道交通后勤服务需要，全面负责后勤项目的现场工作管理及服务品质监督，负责日常工作开展的计划与落实管理工作。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2、后勤管理人员岗位职责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 xml:space="preserve">1）协助上级制定后勤总务及安全管理工作发展规划和计划； </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2）协助审核、修订后勤管理规章制度，进行日常后勤工作的组织与管理；</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 xml:space="preserve">3）协助甲方进行财产、内务、安全管理，为其他部门提供及时有效的后勤服务； </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4）组织保安对甲方的治安、防盗、正常生产秩序、消防安全及交通等项工作进行监督管理；</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5）负责甲方安全生产工作的监督与管理及工伤事故的处理；</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6）负责甲方公共场所、办公楼、综合楼的环境卫生监督和管理，并对保洁员的工作进行指导与考核；</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7）负责对甲方绿化进行管理，监督日常的浇水、种植、除草、杀虫等绿化维护工作；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8）负责甲方各类活动的组织工作及各种会议的会务管理；</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9）负责起草公司后勤综合性文件；</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10）负责甲方会议室及其设备的管理；</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11）负责外来客人的接待安排工作；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12）负责协助甲方与相关政法部门的沟通与联系；</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13）完成甲方交办的相关工作。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3、会务岗位职责</w:t>
      </w:r>
    </w:p>
    <w:p>
      <w:pPr>
        <w:spacing w:line="360" w:lineRule="auto"/>
        <w:ind w:firstLine="420" w:firstLineChars="200"/>
        <w:jc w:val="both"/>
        <w:rPr>
          <w:color w:val="auto"/>
          <w:kern w:val="2"/>
          <w:sz w:val="21"/>
          <w:szCs w:val="21"/>
          <w:highlight w:val="none"/>
        </w:rPr>
      </w:pPr>
      <w:r>
        <w:rPr>
          <w:rFonts w:hint="eastAsia"/>
          <w:color w:val="auto"/>
          <w:kern w:val="2"/>
          <w:sz w:val="21"/>
          <w:szCs w:val="21"/>
          <w:highlight w:val="none"/>
        </w:rPr>
        <w:t>1）负责甲方会务会客接待服务工作；</w:t>
      </w:r>
    </w:p>
    <w:p>
      <w:pPr>
        <w:pStyle w:val="21"/>
        <w:widowControl w:val="0"/>
        <w:shd w:val="clear" w:color="auto" w:fill="FFFFFF"/>
        <w:tabs>
          <w:tab w:val="left" w:pos="292"/>
        </w:tabs>
        <w:spacing w:beforeAutospacing="0" w:afterAutospacing="0" w:line="360" w:lineRule="auto"/>
        <w:ind w:firstLine="420" w:firstLineChars="200"/>
        <w:jc w:val="both"/>
        <w:rPr>
          <w:color w:val="auto"/>
          <w:sz w:val="21"/>
          <w:szCs w:val="21"/>
          <w:highlight w:val="none"/>
          <w:shd w:val="clear" w:color="auto" w:fill="FFFFFF"/>
        </w:rPr>
      </w:pPr>
      <w:r>
        <w:rPr>
          <w:rFonts w:hint="eastAsia"/>
          <w:color w:val="auto"/>
          <w:kern w:val="2"/>
          <w:sz w:val="21"/>
          <w:szCs w:val="21"/>
          <w:highlight w:val="none"/>
        </w:rPr>
        <w:t>2）</w:t>
      </w:r>
      <w:r>
        <w:rPr>
          <w:rFonts w:hint="eastAsia"/>
          <w:color w:val="auto"/>
          <w:sz w:val="21"/>
          <w:szCs w:val="21"/>
          <w:highlight w:val="none"/>
          <w:shd w:val="clear" w:color="auto" w:fill="FFFFFF"/>
        </w:rPr>
        <w:t>负责甲方会议室使用计划统筹准备服务工作；</w:t>
      </w:r>
    </w:p>
    <w:p>
      <w:pPr>
        <w:pStyle w:val="21"/>
        <w:widowControl w:val="0"/>
        <w:shd w:val="clear" w:color="auto" w:fill="FFFFFF"/>
        <w:tabs>
          <w:tab w:val="left" w:pos="292"/>
          <w:tab w:val="left" w:pos="351"/>
        </w:tabs>
        <w:spacing w:beforeAutospacing="0" w:afterAutospacing="0" w:line="360" w:lineRule="auto"/>
        <w:ind w:firstLine="420" w:firstLineChars="200"/>
        <w:jc w:val="both"/>
        <w:rPr>
          <w:color w:val="auto"/>
          <w:sz w:val="21"/>
          <w:szCs w:val="21"/>
          <w:highlight w:val="none"/>
          <w:shd w:val="clear" w:color="auto" w:fill="FFFFFF"/>
        </w:rPr>
      </w:pPr>
      <w:r>
        <w:rPr>
          <w:rFonts w:hint="eastAsia"/>
          <w:color w:val="auto"/>
          <w:sz w:val="21"/>
          <w:szCs w:val="21"/>
          <w:highlight w:val="none"/>
          <w:shd w:val="clear" w:color="auto" w:fill="FFFFFF"/>
        </w:rPr>
        <w:t>3）负责甲方会议室按计划需求布置服务工作；</w:t>
      </w:r>
    </w:p>
    <w:p>
      <w:pPr>
        <w:pStyle w:val="21"/>
        <w:widowControl w:val="0"/>
        <w:shd w:val="clear" w:color="auto" w:fill="FFFFFF"/>
        <w:tabs>
          <w:tab w:val="left" w:pos="321"/>
        </w:tabs>
        <w:spacing w:beforeAutospacing="0" w:afterAutospacing="0" w:line="360" w:lineRule="auto"/>
        <w:ind w:firstLine="420" w:firstLineChars="200"/>
        <w:jc w:val="both"/>
        <w:rPr>
          <w:color w:val="auto"/>
          <w:sz w:val="21"/>
          <w:szCs w:val="21"/>
          <w:highlight w:val="none"/>
          <w:shd w:val="clear" w:color="auto" w:fill="FFFFFF"/>
        </w:rPr>
      </w:pPr>
      <w:r>
        <w:rPr>
          <w:rFonts w:hint="eastAsia"/>
          <w:color w:val="auto"/>
          <w:sz w:val="21"/>
          <w:szCs w:val="21"/>
          <w:highlight w:val="none"/>
          <w:shd w:val="clear" w:color="auto" w:fill="FFFFFF"/>
        </w:rPr>
        <w:t>4）负责甲方会务期间会场服务工作；</w:t>
      </w:r>
    </w:p>
    <w:p>
      <w:pPr>
        <w:pStyle w:val="21"/>
        <w:widowControl w:val="0"/>
        <w:shd w:val="clear" w:color="auto" w:fill="FFFFFF"/>
        <w:spacing w:beforeAutospacing="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5）负责甲方会议室日常管理及</w:t>
      </w:r>
      <w:r>
        <w:rPr>
          <w:rFonts w:hint="eastAsia"/>
          <w:color w:val="auto"/>
          <w:sz w:val="21"/>
          <w:szCs w:val="21"/>
          <w:highlight w:val="none"/>
          <w:shd w:val="clear" w:color="auto" w:fill="FFFFFF"/>
        </w:rPr>
        <w:t>环境监督服务工作；</w:t>
      </w:r>
    </w:p>
    <w:p>
      <w:pPr>
        <w:pStyle w:val="21"/>
        <w:widowControl w:val="0"/>
        <w:shd w:val="clear" w:color="auto" w:fill="FFFFFF"/>
        <w:tabs>
          <w:tab w:val="left" w:pos="231"/>
        </w:tabs>
        <w:spacing w:beforeAutospacing="0" w:afterAutospacing="0" w:line="360" w:lineRule="auto"/>
        <w:ind w:firstLine="420" w:firstLineChars="200"/>
        <w:jc w:val="both"/>
        <w:rPr>
          <w:color w:val="auto"/>
          <w:sz w:val="21"/>
          <w:szCs w:val="21"/>
          <w:highlight w:val="none"/>
          <w:shd w:val="clear" w:color="auto" w:fill="FFFFFF"/>
        </w:rPr>
      </w:pPr>
      <w:r>
        <w:rPr>
          <w:rFonts w:hint="eastAsia"/>
          <w:color w:val="auto"/>
          <w:kern w:val="2"/>
          <w:sz w:val="21"/>
          <w:szCs w:val="21"/>
          <w:highlight w:val="none"/>
        </w:rPr>
        <w:t>6）负责甲方临时（包括法定节假日）交办的其他的</w:t>
      </w:r>
      <w:r>
        <w:rPr>
          <w:rFonts w:hint="eastAsia"/>
          <w:color w:val="auto"/>
          <w:sz w:val="21"/>
          <w:szCs w:val="21"/>
          <w:highlight w:val="none"/>
        </w:rPr>
        <w:t>会务接待客服服务</w:t>
      </w:r>
      <w:r>
        <w:rPr>
          <w:rFonts w:hint="eastAsia"/>
          <w:color w:val="auto"/>
          <w:kern w:val="2"/>
          <w:sz w:val="21"/>
          <w:szCs w:val="21"/>
          <w:highlight w:val="none"/>
        </w:rPr>
        <w:t>工作；</w:t>
      </w:r>
    </w:p>
    <w:p>
      <w:pPr>
        <w:pStyle w:val="21"/>
        <w:widowControl w:val="0"/>
        <w:shd w:val="clear" w:color="auto" w:fill="FFFFFF"/>
        <w:spacing w:beforeAutospacing="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7）</w:t>
      </w:r>
      <w:r>
        <w:rPr>
          <w:rFonts w:hint="eastAsia"/>
          <w:color w:val="auto"/>
          <w:sz w:val="21"/>
          <w:szCs w:val="21"/>
          <w:highlight w:val="none"/>
          <w:shd w:val="clear" w:color="auto" w:fill="FFFFFF"/>
        </w:rPr>
        <w:t>协助作好对外联络工作和各部门的协调沟通工作；</w:t>
      </w:r>
    </w:p>
    <w:p>
      <w:pPr>
        <w:pStyle w:val="21"/>
        <w:widowControl w:val="0"/>
        <w:shd w:val="clear" w:color="auto" w:fill="FFFFFF"/>
        <w:spacing w:beforeAutospacing="0" w:afterAutospacing="0" w:line="360" w:lineRule="auto"/>
        <w:ind w:firstLine="420" w:firstLineChars="200"/>
        <w:jc w:val="both"/>
        <w:rPr>
          <w:rFonts w:asciiTheme="minorEastAsia" w:hAnsiTheme="minorEastAsia" w:eastAsiaTheme="minorEastAsia" w:cstheme="minorEastAsia"/>
          <w:color w:val="auto"/>
          <w:kern w:val="2"/>
          <w:sz w:val="21"/>
          <w:szCs w:val="21"/>
          <w:highlight w:val="none"/>
        </w:rPr>
      </w:pPr>
      <w:r>
        <w:rPr>
          <w:rFonts w:hint="eastAsia"/>
          <w:color w:val="auto"/>
          <w:kern w:val="2"/>
          <w:sz w:val="21"/>
          <w:szCs w:val="21"/>
          <w:highlight w:val="none"/>
        </w:rPr>
        <w:t>8）完成甲方交办的其他工作内容。</w:t>
      </w:r>
      <w:r>
        <w:rPr>
          <w:rFonts w:hint="eastAsia" w:asciiTheme="minorEastAsia" w:hAnsiTheme="minorEastAsia" w:eastAsiaTheme="minorEastAsia" w:cstheme="minorEastAsia"/>
          <w:color w:val="auto"/>
          <w:kern w:val="2"/>
          <w:sz w:val="21"/>
          <w:szCs w:val="21"/>
          <w:highlight w:val="none"/>
        </w:rPr>
        <w:tab/>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4、主厨岗位职责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1）遵守甲方和食堂的规章制度，带头做好本职工作；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2）积极参加食品卫生知识和安全方面的培训；</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3）严格按操作规程作业，保证食品的卫生、可口；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4）负责提供每日菜单，并持续推出新菜色；</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5）提供每日适量的采购计划，并负责日常采购，抓好成本核算；</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6）负责食品的储存，定期清洁及维护厨具；</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7）做好灶间、操作间、包干区卫生，养成良好的个人卫生；</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8）合理使用原材料，节约水、电、煤气；</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9）以身作则严以律己，团队意识强，不搞特殊化。协助领导做好食堂管理工作；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10）完成甲方交办的其他工作。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5、帮厨岗位职责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1）帮厨人员需在制定时间内到达食堂，听从主厨安排做好洗菜，择菜，切菜等协助工作；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2）负责为就餐人员打菜打饭，做到公平公正；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3）就餐期间随时关注桌面情况，做到及时清理，保证用餐环境卫生整洁；</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4）就餐结束，需要将餐具，筷子放置消毒柜进行消毒，剩余食品进行分类存放，对食堂各台面，水池，灶具进行卫生清理；</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5）帮厨人员离开前，需检查各类开关，设备，炉灶煤气等，做好防火，防盗，防毒等工作，关闭厨房点灯，水龙头，门窗方可离开；</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6）所有员工因持有健康证上岗。</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6、杂工岗位职责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1）服从甲方领导工作安排；</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2）做好个人卫生，上岗前着装整洁，做到“四勤”；</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3）做好每天所需工作，如切配，协作，菜品清洗工作，在工作后及时打扫周边卫生，清理残渣；</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4）负责甲方食堂清洁卫生，保证就餐人员在一个好的环境下就餐，就餐结束后及时打扫食堂卫生；</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5）做好餐具回收，清洗，消毒等工作；</w:t>
      </w:r>
    </w:p>
    <w:p>
      <w:pPr>
        <w:widowControl/>
        <w:autoSpaceDE/>
        <w:autoSpaceDN/>
        <w:adjustRightInd w:val="0"/>
        <w:snapToGrid w:val="0"/>
        <w:spacing w:line="360" w:lineRule="auto"/>
        <w:ind w:firstLine="420" w:firstLineChars="200"/>
        <w:outlineLvl w:val="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6）所有员工因持有健康证上岗。</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7、驾驶员岗位职责：</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1）学习甲方车辆管理制度，熟悉用车及车辆管理流程，确保甲方各项工作正常用车；</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2）负责行驾车辆的日常保养检查及车辆卫生工作；</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3）保证行驾车辆的安全，自觉遵守交通法规；</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4）节约油耗，降低车辆维修保养成本；</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5）负责甲方（综合部归口）管理范围内车辆油卡办理及费用结算；</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6）负责甲方（综合部归口）管理范围内车辆的保险购买工作；</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7）负责甲方（综合部归口）管理范围内车辆使用管理，含驾驶员审核、备案、出车及用油情况等，按月做出相关分析；</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8）协助甲方相关职能部门做好生产用车的年检工作；</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9）协助做好甲方车辆购置工作；</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10）工作积极主动，服从调度，工作时间不擅自离开工作岗位，协助做好有关工作，对所承担的工作全面负责；</w:t>
      </w:r>
    </w:p>
    <w:p>
      <w:pPr>
        <w:widowControl/>
        <w:autoSpaceDE/>
        <w:autoSpaceDN/>
        <w:spacing w:line="360" w:lineRule="auto"/>
        <w:ind w:firstLine="420" w:firstLineChars="200"/>
        <w:rPr>
          <w:rFonts w:cs="Courier New"/>
          <w:color w:val="auto"/>
          <w:kern w:val="2"/>
          <w:sz w:val="21"/>
          <w:szCs w:val="21"/>
          <w:highlight w:val="none"/>
          <w:lang w:val="en-US" w:bidi="ar-SA"/>
        </w:rPr>
      </w:pPr>
      <w:r>
        <w:rPr>
          <w:rFonts w:hint="eastAsia" w:cs="Courier New"/>
          <w:color w:val="auto"/>
          <w:kern w:val="2"/>
          <w:sz w:val="21"/>
          <w:szCs w:val="21"/>
          <w:highlight w:val="none"/>
          <w:lang w:val="en-US" w:bidi="ar-SA"/>
        </w:rPr>
        <w:t>11）</w:t>
      </w:r>
      <w:r>
        <w:rPr>
          <w:rFonts w:hint="eastAsia"/>
          <w:color w:val="auto"/>
          <w:kern w:val="2"/>
          <w:sz w:val="21"/>
          <w:szCs w:val="21"/>
          <w:highlight w:val="none"/>
        </w:rPr>
        <w:t>完成甲方交办的其他工作内容。</w:t>
      </w:r>
    </w:p>
    <w:p>
      <w:pPr>
        <w:spacing w:line="360" w:lineRule="auto"/>
        <w:ind w:firstLine="440" w:firstLineChars="200"/>
        <w:rPr>
          <w:b/>
          <w:color w:val="auto"/>
          <w:szCs w:val="21"/>
          <w:highlight w:val="none"/>
        </w:rPr>
      </w:pPr>
      <w:r>
        <w:rPr>
          <w:rFonts w:hint="eastAsia"/>
          <w:b/>
          <w:color w:val="auto"/>
          <w:szCs w:val="21"/>
          <w:highlight w:val="none"/>
          <w:lang w:val="en-US"/>
        </w:rPr>
        <w:t>3</w:t>
      </w:r>
      <w:r>
        <w:rPr>
          <w:rFonts w:hint="eastAsia"/>
          <w:b/>
          <w:color w:val="auto"/>
          <w:szCs w:val="21"/>
          <w:highlight w:val="none"/>
        </w:rPr>
        <w:t>.2服务工期</w:t>
      </w:r>
    </w:p>
    <w:p>
      <w:pPr>
        <w:tabs>
          <w:tab w:val="left" w:pos="700"/>
        </w:tabs>
        <w:spacing w:line="360" w:lineRule="auto"/>
        <w:ind w:firstLine="440" w:firstLineChars="200"/>
        <w:rPr>
          <w:rFonts w:cs="Courier New"/>
          <w:b/>
          <w:color w:val="auto"/>
          <w:szCs w:val="21"/>
          <w:highlight w:val="none"/>
        </w:rPr>
      </w:pPr>
      <w:r>
        <w:rPr>
          <w:rFonts w:hint="eastAsia"/>
          <w:color w:val="auto"/>
          <w:szCs w:val="21"/>
          <w:highlight w:val="none"/>
        </w:rPr>
        <w:t>服务期限：</w:t>
      </w:r>
      <w:r>
        <w:rPr>
          <w:rFonts w:hint="eastAsia"/>
          <w:color w:val="auto"/>
          <w:highlight w:val="none"/>
        </w:rPr>
        <w:t>本次物业管理服务的合同有效期为合同签订之日起一年。如遇上级政策调整</w:t>
      </w:r>
      <w:r>
        <w:rPr>
          <w:rFonts w:hint="eastAsia"/>
          <w:color w:val="auto"/>
          <w:highlight w:val="none"/>
          <w:lang w:val="en-US" w:eastAsia="zh-CN"/>
        </w:rPr>
        <w:t>需终止合同</w:t>
      </w:r>
      <w:r>
        <w:rPr>
          <w:rFonts w:hint="eastAsia"/>
          <w:color w:val="auto"/>
          <w:highlight w:val="none"/>
        </w:rPr>
        <w:t>，</w:t>
      </w:r>
      <w:r>
        <w:rPr>
          <w:rFonts w:hint="eastAsia"/>
          <w:color w:val="auto"/>
          <w:highlight w:val="none"/>
          <w:lang w:val="en-US" w:eastAsia="zh-CN"/>
        </w:rPr>
        <w:t>由双方共同协商处理</w:t>
      </w:r>
      <w:r>
        <w:rPr>
          <w:rFonts w:hint="eastAsia"/>
          <w:color w:val="auto"/>
          <w:highlight w:val="none"/>
        </w:rPr>
        <w:t>。</w:t>
      </w:r>
    </w:p>
    <w:p>
      <w:pPr>
        <w:spacing w:before="120" w:beforeLines="50" w:after="120" w:afterLines="50"/>
        <w:rPr>
          <w:b/>
          <w:color w:val="auto"/>
          <w:sz w:val="24"/>
          <w:highlight w:val="none"/>
        </w:rPr>
      </w:pPr>
      <w:r>
        <w:rPr>
          <w:rFonts w:hint="eastAsia"/>
          <w:b/>
          <w:color w:val="auto"/>
          <w:sz w:val="24"/>
          <w:highlight w:val="none"/>
          <w:lang w:val="en-US"/>
        </w:rPr>
        <w:t>4</w:t>
      </w:r>
      <w:r>
        <w:rPr>
          <w:rFonts w:hint="eastAsia"/>
          <w:b/>
          <w:color w:val="auto"/>
          <w:sz w:val="24"/>
          <w:highlight w:val="none"/>
        </w:rPr>
        <w:t>．发包人的责任与义务</w:t>
      </w:r>
    </w:p>
    <w:p>
      <w:pPr>
        <w:widowControl/>
        <w:spacing w:line="360" w:lineRule="auto"/>
        <w:ind w:firstLine="440" w:firstLineChars="200"/>
        <w:rPr>
          <w:rFonts w:cs="Times New Roman"/>
          <w:color w:val="auto"/>
          <w:szCs w:val="21"/>
          <w:highlight w:val="none"/>
        </w:rPr>
      </w:pPr>
      <w:r>
        <w:rPr>
          <w:rFonts w:hint="eastAsia" w:cs="Times New Roman"/>
          <w:color w:val="auto"/>
          <w:szCs w:val="21"/>
          <w:highlight w:val="none"/>
          <w:lang w:val="en-US"/>
        </w:rPr>
        <w:t>4.1</w:t>
      </w:r>
      <w:r>
        <w:rPr>
          <w:rFonts w:hint="eastAsia" w:cs="Times New Roman"/>
          <w:color w:val="auto"/>
          <w:szCs w:val="21"/>
          <w:highlight w:val="none"/>
        </w:rPr>
        <w:t>发包人负责提供工作场地，</w:t>
      </w:r>
      <w:r>
        <w:rPr>
          <w:rFonts w:hint="eastAsia" w:cs="Times New Roman"/>
          <w:color w:val="auto"/>
          <w:szCs w:val="21"/>
          <w:highlight w:val="none"/>
          <w:lang w:val="en-US"/>
        </w:rPr>
        <w:t>换休值班用房，</w:t>
      </w:r>
      <w:r>
        <w:rPr>
          <w:rFonts w:hint="eastAsia" w:cs="Times New Roman"/>
          <w:color w:val="auto"/>
          <w:szCs w:val="21"/>
          <w:highlight w:val="none"/>
        </w:rPr>
        <w:t>并为乙方管理活动尽可能提供便利条件。</w:t>
      </w:r>
      <w:r>
        <w:rPr>
          <w:rFonts w:hint="eastAsia" w:cs="Times New Roman"/>
          <w:color w:val="auto"/>
          <w:szCs w:val="21"/>
          <w:highlight w:val="none"/>
          <w:lang w:val="en-US" w:eastAsia="zh-CN"/>
        </w:rPr>
        <w:t>发包人为派驻工作</w:t>
      </w:r>
      <w:r>
        <w:rPr>
          <w:rFonts w:hint="eastAsia" w:ascii="仿宋_GB2312"/>
          <w:color w:val="auto"/>
          <w:highlight w:val="none"/>
        </w:rPr>
        <w:t>人员承担食宿费用，但不计入计薪计税范畴，住宿费标准不超过800元/月·人；餐饮费标准不超过1300/月·人。</w:t>
      </w:r>
      <w:r>
        <w:rPr>
          <w:rFonts w:hint="eastAsia" w:ascii="仿宋_GB2312"/>
          <w:color w:val="auto"/>
          <w:highlight w:val="none"/>
          <w:lang w:val="en-US" w:eastAsia="zh-CN"/>
        </w:rPr>
        <w:t>派驻工作</w:t>
      </w:r>
      <w:r>
        <w:rPr>
          <w:rFonts w:hint="eastAsia" w:ascii="仿宋_GB2312"/>
          <w:color w:val="auto"/>
          <w:highlight w:val="none"/>
        </w:rPr>
        <w:t>人员工资均为扣除食宿费用后的工资标准，</w:t>
      </w:r>
      <w:r>
        <w:rPr>
          <w:rFonts w:hint="eastAsia" w:ascii="仿宋_GB2312"/>
          <w:color w:val="auto"/>
          <w:highlight w:val="none"/>
          <w:lang w:val="en-US" w:eastAsia="zh-CN"/>
        </w:rPr>
        <w:t>发包人</w:t>
      </w:r>
      <w:r>
        <w:rPr>
          <w:rFonts w:hint="eastAsia" w:ascii="仿宋_GB2312"/>
          <w:color w:val="auto"/>
          <w:highlight w:val="none"/>
        </w:rPr>
        <w:t>不再另行向</w:t>
      </w:r>
      <w:r>
        <w:rPr>
          <w:rFonts w:hint="eastAsia" w:ascii="仿宋_GB2312"/>
          <w:color w:val="auto"/>
          <w:highlight w:val="none"/>
          <w:lang w:val="en-US" w:eastAsia="zh-CN"/>
        </w:rPr>
        <w:t>派驻工作</w:t>
      </w:r>
      <w:r>
        <w:rPr>
          <w:rFonts w:hint="eastAsia" w:ascii="仿宋_GB2312"/>
          <w:color w:val="auto"/>
          <w:highlight w:val="none"/>
        </w:rPr>
        <w:t>人员支付食宿费，</w:t>
      </w:r>
      <w:r>
        <w:rPr>
          <w:rFonts w:hint="eastAsia" w:ascii="仿宋_GB2312"/>
          <w:color w:val="auto"/>
          <w:highlight w:val="none"/>
          <w:lang w:val="en-US" w:eastAsia="zh-CN"/>
        </w:rPr>
        <w:t>承包人</w:t>
      </w:r>
      <w:r>
        <w:rPr>
          <w:rFonts w:hint="eastAsia" w:ascii="仿宋_GB2312"/>
          <w:color w:val="auto"/>
          <w:highlight w:val="none"/>
        </w:rPr>
        <w:t>及</w:t>
      </w:r>
      <w:r>
        <w:rPr>
          <w:rFonts w:hint="eastAsia" w:ascii="仿宋_GB2312"/>
          <w:color w:val="auto"/>
          <w:highlight w:val="none"/>
          <w:lang w:val="en-US" w:eastAsia="zh-CN"/>
        </w:rPr>
        <w:t>派驻工作</w:t>
      </w:r>
      <w:r>
        <w:rPr>
          <w:rFonts w:hint="eastAsia" w:ascii="仿宋_GB2312"/>
          <w:color w:val="auto"/>
          <w:highlight w:val="none"/>
        </w:rPr>
        <w:t>人员不得就人员食宿费用向</w:t>
      </w:r>
      <w:r>
        <w:rPr>
          <w:rFonts w:hint="eastAsia" w:ascii="仿宋_GB2312"/>
          <w:color w:val="auto"/>
          <w:highlight w:val="none"/>
          <w:lang w:val="en-US" w:eastAsia="zh-CN"/>
        </w:rPr>
        <w:t>发包人</w:t>
      </w:r>
      <w:r>
        <w:rPr>
          <w:rFonts w:hint="eastAsia" w:ascii="仿宋_GB2312"/>
          <w:color w:val="auto"/>
          <w:highlight w:val="none"/>
        </w:rPr>
        <w:t>索取费用。</w:t>
      </w:r>
    </w:p>
    <w:p>
      <w:pPr>
        <w:tabs>
          <w:tab w:val="left" w:pos="700"/>
        </w:tabs>
        <w:spacing w:line="360" w:lineRule="auto"/>
        <w:ind w:firstLine="440" w:firstLineChars="200"/>
        <w:rPr>
          <w:rFonts w:cs="Times New Roman"/>
          <w:color w:val="auto"/>
          <w:szCs w:val="21"/>
          <w:highlight w:val="none"/>
        </w:rPr>
      </w:pPr>
      <w:r>
        <w:rPr>
          <w:rFonts w:hint="eastAsia" w:cs="Times New Roman"/>
          <w:color w:val="auto"/>
          <w:szCs w:val="21"/>
          <w:highlight w:val="none"/>
          <w:lang w:val="en-US"/>
        </w:rPr>
        <w:t>4.2</w:t>
      </w:r>
      <w:r>
        <w:rPr>
          <w:rFonts w:hint="eastAsia" w:cs="Times New Roman"/>
          <w:color w:val="auto"/>
          <w:szCs w:val="21"/>
          <w:highlight w:val="none"/>
        </w:rPr>
        <w:t>发包人不得无故缩短合同期限或无故终止合同。</w:t>
      </w:r>
    </w:p>
    <w:p>
      <w:pPr>
        <w:tabs>
          <w:tab w:val="left" w:pos="700"/>
        </w:tabs>
        <w:spacing w:line="360" w:lineRule="auto"/>
        <w:ind w:firstLine="440" w:firstLineChars="200"/>
        <w:rPr>
          <w:rFonts w:cs="Times New Roman"/>
          <w:color w:val="auto"/>
          <w:szCs w:val="21"/>
          <w:highlight w:val="none"/>
        </w:rPr>
      </w:pPr>
      <w:r>
        <w:rPr>
          <w:rFonts w:hint="eastAsia" w:cs="Times New Roman"/>
          <w:color w:val="auto"/>
          <w:szCs w:val="21"/>
          <w:highlight w:val="none"/>
          <w:lang w:val="en-US"/>
        </w:rPr>
        <w:t>4.3</w:t>
      </w:r>
      <w:r>
        <w:rPr>
          <w:rFonts w:hint="eastAsia" w:cs="Times New Roman"/>
          <w:color w:val="auto"/>
          <w:szCs w:val="21"/>
          <w:highlight w:val="none"/>
        </w:rPr>
        <w:t>发包人须进行计量支付审核，按上级主管单位规定的计量支付流程，</w:t>
      </w:r>
      <w:r>
        <w:rPr>
          <w:rFonts w:hint="eastAsia" w:cs="Times New Roman"/>
          <w:color w:val="auto"/>
          <w:szCs w:val="21"/>
          <w:highlight w:val="none"/>
          <w:lang w:val="en-US" w:eastAsia="zh-CN"/>
        </w:rPr>
        <w:t>根据实际到岗情况及实际产生费用据实</w:t>
      </w:r>
      <w:r>
        <w:rPr>
          <w:rFonts w:hint="eastAsia" w:cs="Times New Roman"/>
          <w:color w:val="auto"/>
          <w:szCs w:val="21"/>
          <w:highlight w:val="none"/>
        </w:rPr>
        <w:t>支付费用。</w:t>
      </w:r>
    </w:p>
    <w:p>
      <w:pPr>
        <w:tabs>
          <w:tab w:val="left" w:pos="700"/>
        </w:tabs>
        <w:spacing w:line="360" w:lineRule="auto"/>
        <w:ind w:firstLine="440" w:firstLineChars="200"/>
        <w:rPr>
          <w:rFonts w:ascii="仿宋" w:hAnsi="仿宋" w:eastAsia="仿宋" w:cs="仿宋"/>
          <w:color w:val="auto"/>
          <w:sz w:val="24"/>
          <w:szCs w:val="24"/>
          <w:highlight w:val="none"/>
        </w:rPr>
      </w:pPr>
      <w:r>
        <w:rPr>
          <w:rFonts w:hint="eastAsia" w:cs="Times New Roman"/>
          <w:color w:val="auto"/>
          <w:szCs w:val="21"/>
          <w:highlight w:val="none"/>
          <w:lang w:val="en-US"/>
        </w:rPr>
        <w:t>4.4</w:t>
      </w:r>
      <w:r>
        <w:rPr>
          <w:rFonts w:hint="eastAsia" w:cs="Times New Roman"/>
          <w:color w:val="auto"/>
          <w:szCs w:val="21"/>
          <w:highlight w:val="none"/>
        </w:rPr>
        <w:t>当承包人未履行好责任和义务，发包人有权课以违约金，直至将其清退出场。</w:t>
      </w:r>
    </w:p>
    <w:p>
      <w:pPr>
        <w:spacing w:before="120" w:beforeLines="50" w:after="120" w:afterLines="50"/>
        <w:rPr>
          <w:b/>
          <w:color w:val="auto"/>
          <w:sz w:val="24"/>
          <w:highlight w:val="none"/>
        </w:rPr>
      </w:pPr>
      <w:r>
        <w:rPr>
          <w:rFonts w:hint="eastAsia"/>
          <w:b/>
          <w:color w:val="auto"/>
          <w:sz w:val="24"/>
          <w:highlight w:val="none"/>
          <w:lang w:val="en-US"/>
        </w:rPr>
        <w:t>5</w:t>
      </w:r>
      <w:r>
        <w:rPr>
          <w:rFonts w:hint="eastAsia"/>
          <w:b/>
          <w:color w:val="auto"/>
          <w:sz w:val="24"/>
          <w:highlight w:val="none"/>
        </w:rPr>
        <w:t>．承包人的责任与义务</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5.1提供符合要求的服务工作</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承包人不得整体转包本项</w:t>
      </w:r>
      <w:r>
        <w:rPr>
          <w:rFonts w:hint="eastAsia" w:cs="Times New Roman"/>
          <w:b w:val="0"/>
          <w:bCs w:val="0"/>
          <w:color w:val="auto"/>
          <w:szCs w:val="21"/>
          <w:highlight w:val="none"/>
          <w:lang w:val="en-US"/>
        </w:rPr>
        <w:t>目，且须按</w:t>
      </w:r>
      <w:r>
        <w:rPr>
          <w:rFonts w:hint="eastAsia" w:cs="Times New Roman"/>
          <w:b w:val="0"/>
          <w:bCs w:val="0"/>
          <w:color w:val="auto"/>
          <w:szCs w:val="21"/>
          <w:highlight w:val="none"/>
          <w:lang w:val="en-US" w:eastAsia="zh-CN"/>
        </w:rPr>
        <w:t>发包人</w:t>
      </w:r>
      <w:r>
        <w:rPr>
          <w:rFonts w:hint="eastAsia" w:cs="Times New Roman"/>
          <w:b w:val="0"/>
          <w:bCs w:val="0"/>
          <w:color w:val="auto"/>
          <w:szCs w:val="21"/>
          <w:highlight w:val="none"/>
          <w:lang w:val="en-US"/>
        </w:rPr>
        <w:t>服务标准考核</w:t>
      </w:r>
      <w:r>
        <w:rPr>
          <w:rFonts w:hint="eastAsia" w:cs="Times New Roman"/>
          <w:b w:val="0"/>
          <w:bCs w:val="0"/>
          <w:color w:val="auto"/>
          <w:szCs w:val="21"/>
          <w:highlight w:val="none"/>
          <w:lang w:val="en-US" w:eastAsia="zh-CN"/>
        </w:rPr>
        <w:t>相应</w:t>
      </w:r>
      <w:r>
        <w:rPr>
          <w:rFonts w:hint="eastAsia" w:cs="Times New Roman"/>
          <w:b w:val="0"/>
          <w:bCs w:val="0"/>
          <w:color w:val="auto"/>
          <w:szCs w:val="21"/>
          <w:highlight w:val="none"/>
          <w:lang w:val="en-US"/>
        </w:rPr>
        <w:t>内容提供符</w:t>
      </w:r>
      <w:r>
        <w:rPr>
          <w:rFonts w:hint="eastAsia" w:cs="Times New Roman"/>
          <w:color w:val="auto"/>
          <w:szCs w:val="21"/>
          <w:highlight w:val="none"/>
          <w:lang w:val="en-US"/>
        </w:rPr>
        <w:t>合要求的服务工作，发包人</w:t>
      </w:r>
      <w:r>
        <w:rPr>
          <w:rFonts w:hint="eastAsia" w:cs="Times New Roman"/>
          <w:color w:val="auto"/>
          <w:szCs w:val="21"/>
          <w:highlight w:val="none"/>
          <w:lang w:val="en-US" w:eastAsia="zh-CN"/>
        </w:rPr>
        <w:t>每季度</w:t>
      </w:r>
      <w:r>
        <w:rPr>
          <w:rFonts w:hint="eastAsia" w:cs="Times New Roman"/>
          <w:color w:val="auto"/>
          <w:szCs w:val="21"/>
          <w:highlight w:val="none"/>
          <w:lang w:val="en-US"/>
        </w:rPr>
        <w:t>根据</w:t>
      </w:r>
      <w:r>
        <w:rPr>
          <w:rFonts w:hint="eastAsia" w:cs="Times New Roman"/>
          <w:color w:val="auto"/>
          <w:szCs w:val="21"/>
          <w:highlight w:val="none"/>
          <w:lang w:val="en-US" w:eastAsia="zh-CN"/>
        </w:rPr>
        <w:t>承包人提供</w:t>
      </w:r>
      <w:r>
        <w:rPr>
          <w:rFonts w:hint="eastAsia" w:cs="Times New Roman"/>
          <w:color w:val="auto"/>
          <w:szCs w:val="21"/>
          <w:highlight w:val="none"/>
          <w:lang w:val="en-US"/>
        </w:rPr>
        <w:t>工作</w:t>
      </w:r>
      <w:r>
        <w:rPr>
          <w:rFonts w:hint="eastAsia" w:cs="Times New Roman"/>
          <w:color w:val="auto"/>
          <w:szCs w:val="21"/>
          <w:highlight w:val="none"/>
          <w:lang w:val="en-US" w:eastAsia="zh-CN"/>
        </w:rPr>
        <w:t>服务质量及标准进行评分</w:t>
      </w:r>
      <w:r>
        <w:rPr>
          <w:rFonts w:hint="eastAsia" w:cs="Times New Roman"/>
          <w:color w:val="auto"/>
          <w:szCs w:val="21"/>
          <w:highlight w:val="none"/>
          <w:lang w:val="en-US"/>
        </w:rPr>
        <w:t>，该分值将作为计量支付的重要依据之一。如果发包人或上级主管单位或行业主管部门对秩序维护、环境维护、工程维护、职工食堂后勤服务、勤杂服务有新规定，经双方协商一致后按其规定修正评分表。</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5.2 承包人的人员管理</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5.2.1承包人须依法与雇佣人员签订合同、按时支付雇佣人员的工资、依法交纳相关费用；承包人与雇佣人员的一切纠纷，以及承包人为履行合同所雇佣的全部人员若发生一切意外事故，均由承包人自行解决妥当。</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5.2.2承包人未经发包人同意，不得随意更换项目管理人员。但若项目管理人员不能满足要求时，发包人有权要求更换。项目管理员要求常驻现场，以保障工作的正常进行。</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5.2.3承包人原则上雇用年龄在18-60周岁、品德良好、身体健康、责任心强、 吃苦耐劳并能坚持长年出勤出工的人员。所雇人员工资不能低于服务项目所在地劳动主管部门规定的工资的最低标准，并按期足额支付工资款，如承包人不及时支付工资款或未按上述要求履行而造成合同纠纷，承包人必须承担相应责任。一旦发生此类情况，发包人保留停止对承包人期中支付和其他支付的权利，直至承包人妥善处理好上述纠纷为止。</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5.3承包人的安全管理</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5.3.1承包人必须按照有关安全管理办法，在服务期间负责相关事务。在整个服务过程中，发包人有权监督并对承包人提出整改要求。</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5.3.2如果由于承包人未能对其负责的安全事项采取各种必要的措施或采取的措施不力而导致或发生与此有关的人身伤亡、罚款、索赔、损失补偿、诉讼及其它一切责任和费用应由承包人负责，发包人不承担任何责任和费用。如果承包人由于现场作业的安全性、可靠性和实用性不当，或者违反有关规定，从而造成安全事故的发生，并给本项目带来不良负面影响，承包人除承担一切责任和所有相关费用外，发包人可视承包人上述违约行为对承包人按违约处理，情节严重者将终止合同。</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5.3.3安全事故报告必须按照国家有关办法及现行制度办理。</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5.3.4承包人须按照服务内容维护好服务项目的安全生产及办公秩序，对于责任区域内发生的消防、治安等特殊事件，承包人须积极进行协调和配合处理，并及时上报发包人的管理人员。</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5.3.5承包人除具备完成日常环境维护工作的能力外，还必须具备灾害性预防、处置突发性事件、突击抢险的能力。制定抢险预案，配备人员，保持抢险设备、材料等完备使用性的日常管理工作。</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5.4承包人的保险办理</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5.4.1承包人须本项目实施期间为履行合同所雇佣的全部人员购买第三者责任险等相关保险，保额不足部分由承包人补足。</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5.5其它</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5.5.1承包人在签署合同后须积极进行准备工作，保证在接到发包人通知后的一周内将人员派驻到位。</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5.5.2 承包人在服务过程中，须接受发包人的检查监督管理工作。</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5.5.3承包人在服务过程中，如因承包人在服务中出现管理责任而造成发包人、承包人或任何第三方的生命和财产损失，应由承包人承担全部责任。发包人保留向承包人追偿损失的权利。</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5.5.4不可抗力</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如果发生战争、动乱、地震、风暴、洪灾、大规模瘟疫或双方都不能控制的突发事故、事件，合同条款应按实情予以修改和补充，但双方均不得追究对方的赔偿责任。</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rPr>
        <w:t>5.6政策变化或上级主管单位要求</w:t>
      </w:r>
    </w:p>
    <w:p>
      <w:pPr>
        <w:tabs>
          <w:tab w:val="left" w:pos="700"/>
        </w:tabs>
        <w:spacing w:line="360" w:lineRule="auto"/>
        <w:ind w:firstLine="440" w:firstLineChars="200"/>
        <w:rPr>
          <w:lang w:val="en-US"/>
        </w:rPr>
      </w:pPr>
      <w:r>
        <w:rPr>
          <w:rFonts w:hint="eastAsia" w:cs="Times New Roman"/>
          <w:color w:val="auto"/>
          <w:szCs w:val="21"/>
          <w:highlight w:val="none"/>
          <w:lang w:val="en-US"/>
        </w:rPr>
        <w:t>如果在合同执行期间，行政主管部门的政策发生变化或发包人的上级主管单位提出新的要求，则本合同作相应调整，通过发包人与承包人进行友好协商解决。若因此合同不得不提前或立刻终止时，发包人</w:t>
      </w:r>
      <w:r>
        <w:rPr>
          <w:rFonts w:hint="eastAsia" w:cs="Times New Roman"/>
          <w:color w:val="auto"/>
          <w:szCs w:val="21"/>
          <w:highlight w:val="none"/>
          <w:lang w:val="en-US" w:eastAsia="zh-CN"/>
        </w:rPr>
        <w:t>据实结算截止当月实际产生费用及相应</w:t>
      </w:r>
      <w:r>
        <w:rPr>
          <w:rFonts w:hint="eastAsia" w:cs="Times New Roman"/>
          <w:color w:val="auto"/>
          <w:szCs w:val="21"/>
          <w:highlight w:val="none"/>
          <w:lang w:val="en-US"/>
        </w:rPr>
        <w:t>服务费用</w:t>
      </w:r>
      <w:r>
        <w:rPr>
          <w:rFonts w:hint="eastAsia" w:cs="Times New Roman"/>
          <w:color w:val="auto"/>
          <w:szCs w:val="21"/>
          <w:highlight w:val="none"/>
          <w:lang w:val="en-US" w:eastAsia="zh-CN"/>
        </w:rPr>
        <w:t>，</w:t>
      </w:r>
      <w:r>
        <w:rPr>
          <w:rFonts w:hint="eastAsia" w:cs="Times New Roman"/>
          <w:color w:val="auto"/>
          <w:szCs w:val="21"/>
          <w:highlight w:val="none"/>
          <w:lang w:val="en-US"/>
        </w:rPr>
        <w:t>除此外，发包人不再额外支付其它费用。</w:t>
      </w:r>
    </w:p>
    <w:p>
      <w:pPr>
        <w:autoSpaceDE/>
        <w:autoSpaceDN/>
        <w:spacing w:before="120" w:beforeLines="50" w:after="120" w:afterLines="50"/>
        <w:rPr>
          <w:b/>
          <w:color w:val="auto"/>
          <w:sz w:val="24"/>
          <w:highlight w:val="none"/>
        </w:rPr>
      </w:pPr>
      <w:r>
        <w:rPr>
          <w:rFonts w:hint="eastAsia"/>
          <w:b/>
          <w:color w:val="auto"/>
          <w:sz w:val="24"/>
          <w:highlight w:val="none"/>
          <w:lang w:val="en-US"/>
        </w:rPr>
        <w:t>6.</w:t>
      </w:r>
      <w:r>
        <w:rPr>
          <w:rFonts w:hint="eastAsia"/>
          <w:b/>
          <w:color w:val="auto"/>
          <w:sz w:val="24"/>
          <w:highlight w:val="none"/>
        </w:rPr>
        <w:t>违约责任</w:t>
      </w:r>
    </w:p>
    <w:p>
      <w:p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eastAsia="zh-CN"/>
        </w:rPr>
        <w:t>1.</w:t>
      </w:r>
      <w:r>
        <w:rPr>
          <w:rFonts w:hint="eastAsia" w:cs="Times New Roman"/>
          <w:color w:val="auto"/>
          <w:szCs w:val="21"/>
          <w:highlight w:val="none"/>
          <w:lang w:val="en-US"/>
        </w:rPr>
        <w:t>发包人对承包人</w:t>
      </w:r>
      <w:r>
        <w:rPr>
          <w:rFonts w:hint="eastAsia" w:cs="Times New Roman"/>
          <w:color w:val="auto"/>
          <w:szCs w:val="21"/>
          <w:highlight w:val="none"/>
          <w:lang w:val="en-US" w:eastAsia="zh-CN"/>
        </w:rPr>
        <w:t>及派驻人员分别</w:t>
      </w:r>
      <w:r>
        <w:rPr>
          <w:rFonts w:hint="eastAsia" w:cs="Times New Roman"/>
          <w:color w:val="auto"/>
          <w:szCs w:val="21"/>
          <w:highlight w:val="none"/>
          <w:lang w:val="en-US"/>
        </w:rPr>
        <w:t>以服务范围及标准为依据，对季度考核评分表进行</w:t>
      </w:r>
      <w:r>
        <w:rPr>
          <w:rFonts w:hint="eastAsia" w:cs="Times New Roman"/>
          <w:color w:val="auto"/>
          <w:szCs w:val="21"/>
          <w:highlight w:val="none"/>
          <w:lang w:val="en-US" w:eastAsia="zh-CN"/>
        </w:rPr>
        <w:t>评</w:t>
      </w:r>
      <w:r>
        <w:rPr>
          <w:rFonts w:hint="eastAsia" w:cs="Times New Roman"/>
          <w:color w:val="auto"/>
          <w:szCs w:val="21"/>
          <w:highlight w:val="none"/>
          <w:lang w:val="en-US"/>
        </w:rPr>
        <w:t>分，评分表总分为100分。发包人根据每季度考核结果运用相应系数，扣减</w:t>
      </w:r>
      <w:r>
        <w:rPr>
          <w:rFonts w:hint="eastAsia" w:cs="Times New Roman"/>
          <w:color w:val="auto"/>
          <w:szCs w:val="21"/>
          <w:highlight w:val="none"/>
          <w:lang w:val="en-US" w:eastAsia="zh-CN"/>
        </w:rPr>
        <w:t>承包人的服务费用及派驻人员</w:t>
      </w:r>
      <w:r>
        <w:rPr>
          <w:rFonts w:hint="eastAsia" w:cs="Times New Roman"/>
          <w:color w:val="auto"/>
          <w:szCs w:val="21"/>
          <w:highlight w:val="none"/>
          <w:lang w:val="en-US"/>
        </w:rPr>
        <w:t>考核工资</w:t>
      </w:r>
      <w:r>
        <w:rPr>
          <w:rFonts w:hint="eastAsia" w:cs="Times New Roman"/>
          <w:color w:val="auto"/>
          <w:szCs w:val="21"/>
          <w:highlight w:val="none"/>
          <w:lang w:val="en-US" w:eastAsia="zh-CN"/>
        </w:rPr>
        <w:t>。</w:t>
      </w:r>
    </w:p>
    <w:p>
      <w:pPr>
        <w:tabs>
          <w:tab w:val="left" w:pos="700"/>
        </w:tabs>
        <w:spacing w:line="360" w:lineRule="auto"/>
        <w:ind w:firstLine="440" w:firstLineChars="200"/>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2.</w:t>
      </w:r>
      <w:r>
        <w:rPr>
          <w:rFonts w:hint="eastAsia" w:cs="Times New Roman"/>
          <w:color w:val="auto"/>
          <w:szCs w:val="21"/>
          <w:highlight w:val="none"/>
          <w:lang w:val="en-US"/>
        </w:rPr>
        <w:t>日常检查及每季度考核时，承包人在接到发包人要求整改的书面通知后，须在3天内开始进行整改工作，在经双方协商一致的要求时限内完成。</w:t>
      </w:r>
      <w:r>
        <w:rPr>
          <w:rFonts w:hint="eastAsia" w:cs="Times New Roman"/>
          <w:color w:val="auto"/>
          <w:szCs w:val="21"/>
          <w:highlight w:val="none"/>
          <w:lang w:val="en-US" w:eastAsia="zh-CN"/>
        </w:rPr>
        <w:t>因承包人原因未能在甲方指定期限内整改完成的，每延迟一日，发包人有权要求承包人按日支付合同金额千分之二的违约金。超过10日未整改的，发包人有权解除合同。</w:t>
      </w:r>
    </w:p>
    <w:p>
      <w:pPr>
        <w:tabs>
          <w:tab w:val="left" w:pos="700"/>
        </w:tabs>
        <w:spacing w:line="360" w:lineRule="auto"/>
        <w:ind w:firstLine="440" w:firstLineChars="200"/>
        <w:rPr>
          <w:rFonts w:hint="eastAsia" w:cs="Times New Roman"/>
          <w:color w:val="auto"/>
          <w:szCs w:val="21"/>
          <w:highlight w:val="none"/>
          <w:lang w:val="en-US"/>
        </w:rPr>
      </w:pPr>
      <w:r>
        <w:rPr>
          <w:rFonts w:hint="eastAsia" w:cs="Times New Roman"/>
          <w:color w:val="auto"/>
          <w:szCs w:val="21"/>
          <w:highlight w:val="none"/>
          <w:lang w:val="en-US" w:eastAsia="zh-CN"/>
        </w:rPr>
        <w:t>3.</w:t>
      </w:r>
      <w:r>
        <w:rPr>
          <w:rFonts w:hint="eastAsia" w:cs="Times New Roman"/>
          <w:color w:val="auto"/>
          <w:szCs w:val="21"/>
          <w:highlight w:val="none"/>
          <w:lang w:val="en-US"/>
        </w:rPr>
        <w:t>季度考核评分标准及系数：</w:t>
      </w:r>
    </w:p>
    <w:p>
      <w:pPr>
        <w:tabs>
          <w:tab w:val="left" w:pos="700"/>
        </w:tabs>
        <w:spacing w:line="360" w:lineRule="auto"/>
        <w:ind w:firstLine="440" w:firstLineChars="200"/>
        <w:rPr>
          <w:rFonts w:hint="eastAsia" w:cs="Times New Roman"/>
          <w:b w:val="0"/>
          <w:bCs w:val="0"/>
          <w:color w:val="auto"/>
          <w:sz w:val="22"/>
          <w:szCs w:val="21"/>
          <w:highlight w:val="none"/>
          <w:lang w:val="en-US" w:eastAsia="zh-CN" w:bidi="zh-CN"/>
        </w:rPr>
      </w:pPr>
      <w:r>
        <w:rPr>
          <w:rFonts w:hint="eastAsia" w:cs="Times New Roman"/>
          <w:b w:val="0"/>
          <w:bCs w:val="0"/>
          <w:color w:val="auto"/>
          <w:sz w:val="22"/>
          <w:szCs w:val="21"/>
          <w:highlight w:val="none"/>
          <w:lang w:val="en-US" w:eastAsia="zh-CN" w:bidi="zh-CN"/>
        </w:rPr>
        <w:t>3</w:t>
      </w:r>
      <w:r>
        <w:rPr>
          <w:rFonts w:hint="eastAsia" w:ascii="宋体" w:hAnsi="宋体" w:eastAsia="宋体" w:cs="Times New Roman"/>
          <w:b w:val="0"/>
          <w:bCs w:val="0"/>
          <w:color w:val="auto"/>
          <w:sz w:val="22"/>
          <w:szCs w:val="21"/>
          <w:highlight w:val="none"/>
          <w:lang w:val="en-US" w:eastAsia="zh-CN" w:bidi="zh-CN"/>
        </w:rPr>
        <w:t>.1承包人应根据发包人实际工作需要及</w:t>
      </w:r>
      <w:r>
        <w:rPr>
          <w:rFonts w:hint="eastAsia" w:cs="Times New Roman"/>
          <w:b w:val="0"/>
          <w:bCs w:val="0"/>
          <w:color w:val="auto"/>
          <w:sz w:val="22"/>
          <w:szCs w:val="21"/>
          <w:highlight w:val="none"/>
          <w:lang w:val="en-US" w:eastAsia="zh-CN" w:bidi="zh-CN"/>
        </w:rPr>
        <w:t>工作</w:t>
      </w:r>
      <w:r>
        <w:rPr>
          <w:rFonts w:hint="eastAsia" w:ascii="宋体" w:hAnsi="宋体" w:eastAsia="宋体" w:cs="Times New Roman"/>
          <w:b w:val="0"/>
          <w:bCs w:val="0"/>
          <w:color w:val="auto"/>
          <w:sz w:val="22"/>
          <w:szCs w:val="21"/>
          <w:highlight w:val="none"/>
          <w:lang w:val="en-US" w:eastAsia="zh-CN" w:bidi="zh-CN"/>
        </w:rPr>
        <w:t>要求，</w:t>
      </w:r>
      <w:r>
        <w:rPr>
          <w:rFonts w:hint="eastAsia" w:cs="Times New Roman"/>
          <w:b w:val="0"/>
          <w:bCs w:val="0"/>
          <w:color w:val="auto"/>
          <w:sz w:val="22"/>
          <w:szCs w:val="21"/>
          <w:highlight w:val="none"/>
          <w:lang w:val="en-US" w:eastAsia="zh-CN" w:bidi="zh-CN"/>
        </w:rPr>
        <w:t>配合协助发包人开展各项</w:t>
      </w:r>
      <w:r>
        <w:rPr>
          <w:rFonts w:hint="default" w:ascii="宋体" w:hAnsi="宋体" w:eastAsia="宋体" w:cs="Times New Roman"/>
          <w:b w:val="0"/>
          <w:bCs w:val="0"/>
          <w:color w:val="auto"/>
          <w:sz w:val="22"/>
          <w:szCs w:val="21"/>
          <w:highlight w:val="none"/>
          <w:lang w:val="en-US" w:eastAsia="zh-CN" w:bidi="zh-CN"/>
        </w:rPr>
        <w:t>管理</w:t>
      </w:r>
      <w:r>
        <w:rPr>
          <w:rFonts w:hint="eastAsia" w:cs="Times New Roman"/>
          <w:b w:val="0"/>
          <w:bCs w:val="0"/>
          <w:color w:val="auto"/>
          <w:sz w:val="22"/>
          <w:szCs w:val="21"/>
          <w:highlight w:val="none"/>
          <w:lang w:val="en-US" w:eastAsia="zh-CN" w:bidi="zh-CN"/>
        </w:rPr>
        <w:t>及服务工作，持续优化管理模式，提高管理效率及服务质量，</w:t>
      </w:r>
      <w:r>
        <w:rPr>
          <w:rFonts w:hint="eastAsia" w:ascii="宋体" w:hAnsi="宋体" w:eastAsia="宋体" w:cs="Times New Roman"/>
          <w:b w:val="0"/>
          <w:bCs w:val="0"/>
          <w:color w:val="auto"/>
          <w:sz w:val="22"/>
          <w:szCs w:val="21"/>
          <w:highlight w:val="none"/>
          <w:lang w:val="en-US" w:eastAsia="zh-CN" w:bidi="zh-CN"/>
        </w:rPr>
        <w:t>避免劳动纠纷</w:t>
      </w:r>
      <w:r>
        <w:rPr>
          <w:rFonts w:hint="eastAsia" w:cs="Times New Roman"/>
          <w:b w:val="0"/>
          <w:bCs w:val="0"/>
          <w:color w:val="auto"/>
          <w:sz w:val="22"/>
          <w:szCs w:val="21"/>
          <w:highlight w:val="none"/>
          <w:lang w:val="en-US" w:eastAsia="zh-CN" w:bidi="zh-CN"/>
        </w:rPr>
        <w:t>，</w:t>
      </w:r>
      <w:r>
        <w:rPr>
          <w:rFonts w:hint="eastAsia" w:ascii="宋体" w:hAnsi="宋体" w:eastAsia="宋体" w:cs="Times New Roman"/>
          <w:b w:val="0"/>
          <w:bCs w:val="0"/>
          <w:color w:val="auto"/>
          <w:sz w:val="22"/>
          <w:szCs w:val="21"/>
          <w:highlight w:val="none"/>
          <w:lang w:val="en-US" w:eastAsia="zh-CN" w:bidi="zh-CN"/>
        </w:rPr>
        <w:t>提升企业形象</w:t>
      </w:r>
      <w:r>
        <w:rPr>
          <w:rFonts w:hint="eastAsia" w:cs="Times New Roman"/>
          <w:b w:val="0"/>
          <w:bCs w:val="0"/>
          <w:color w:val="auto"/>
          <w:sz w:val="22"/>
          <w:szCs w:val="21"/>
          <w:highlight w:val="none"/>
          <w:lang w:val="en-US" w:eastAsia="zh-CN" w:bidi="zh-CN"/>
        </w:rPr>
        <w:t>。满足发包人提出的各项</w:t>
      </w:r>
      <w:r>
        <w:rPr>
          <w:rFonts w:hint="default" w:ascii="宋体" w:hAnsi="宋体" w:eastAsia="宋体" w:cs="Times New Roman"/>
          <w:b w:val="0"/>
          <w:bCs w:val="0"/>
          <w:color w:val="auto"/>
          <w:sz w:val="22"/>
          <w:szCs w:val="21"/>
          <w:highlight w:val="none"/>
          <w:lang w:val="en-US" w:eastAsia="zh-CN" w:bidi="zh-CN"/>
        </w:rPr>
        <w:t>服务工作具体要求</w:t>
      </w:r>
      <w:r>
        <w:rPr>
          <w:rFonts w:hint="eastAsia" w:cs="Times New Roman"/>
          <w:b w:val="0"/>
          <w:bCs w:val="0"/>
          <w:color w:val="auto"/>
          <w:sz w:val="22"/>
          <w:szCs w:val="21"/>
          <w:highlight w:val="none"/>
          <w:lang w:val="en-US" w:eastAsia="zh-CN" w:bidi="zh-CN"/>
        </w:rPr>
        <w:t>，</w:t>
      </w:r>
      <w:r>
        <w:rPr>
          <w:rFonts w:hint="eastAsia" w:ascii="宋体" w:hAnsi="宋体" w:eastAsia="宋体" w:cs="Times New Roman"/>
          <w:b w:val="0"/>
          <w:bCs w:val="0"/>
          <w:color w:val="auto"/>
          <w:sz w:val="22"/>
          <w:szCs w:val="21"/>
          <w:highlight w:val="none"/>
          <w:lang w:val="en-US" w:eastAsia="zh-CN" w:bidi="zh-CN"/>
        </w:rPr>
        <w:t>包括但不限于定期</w:t>
      </w:r>
      <w:r>
        <w:rPr>
          <w:rFonts w:hint="eastAsia" w:cs="Times New Roman"/>
          <w:b w:val="0"/>
          <w:bCs w:val="0"/>
          <w:color w:val="auto"/>
          <w:sz w:val="22"/>
          <w:szCs w:val="21"/>
          <w:highlight w:val="none"/>
          <w:lang w:val="en-US" w:eastAsia="zh-CN" w:bidi="zh-CN"/>
        </w:rPr>
        <w:t>组织各项</w:t>
      </w:r>
      <w:r>
        <w:rPr>
          <w:rFonts w:hint="eastAsia" w:ascii="宋体" w:hAnsi="宋体" w:eastAsia="宋体" w:cs="Times New Roman"/>
          <w:b w:val="0"/>
          <w:bCs w:val="0"/>
          <w:color w:val="auto"/>
          <w:sz w:val="22"/>
          <w:szCs w:val="21"/>
          <w:highlight w:val="none"/>
          <w:lang w:val="en-US" w:eastAsia="zh-CN" w:bidi="zh-CN"/>
        </w:rPr>
        <w:t>培训</w:t>
      </w:r>
      <w:r>
        <w:rPr>
          <w:rFonts w:hint="eastAsia" w:cs="Times New Roman"/>
          <w:b w:val="0"/>
          <w:bCs w:val="0"/>
          <w:color w:val="auto"/>
          <w:sz w:val="22"/>
          <w:szCs w:val="21"/>
          <w:highlight w:val="none"/>
          <w:lang w:val="en-US" w:eastAsia="zh-CN" w:bidi="zh-CN"/>
        </w:rPr>
        <w:t>（根据发包人要求匹配相应级别的讲师）</w:t>
      </w:r>
      <w:r>
        <w:rPr>
          <w:rFonts w:hint="eastAsia" w:ascii="宋体" w:hAnsi="宋体" w:eastAsia="宋体" w:cs="Times New Roman"/>
          <w:b w:val="0"/>
          <w:bCs w:val="0"/>
          <w:color w:val="auto"/>
          <w:sz w:val="22"/>
          <w:szCs w:val="21"/>
          <w:highlight w:val="none"/>
          <w:lang w:val="en-US" w:eastAsia="zh-CN" w:bidi="zh-CN"/>
        </w:rPr>
        <w:t>、</w:t>
      </w:r>
      <w:r>
        <w:rPr>
          <w:rFonts w:hint="eastAsia" w:cs="Times New Roman"/>
          <w:b w:val="0"/>
          <w:bCs w:val="0"/>
          <w:color w:val="auto"/>
          <w:sz w:val="22"/>
          <w:szCs w:val="21"/>
          <w:highlight w:val="none"/>
          <w:lang w:val="en-US" w:eastAsia="zh-CN" w:bidi="zh-CN"/>
        </w:rPr>
        <w:t>实践检验培训成果、每月15日按时发放员工工资等。</w:t>
      </w:r>
    </w:p>
    <w:p>
      <w:pPr>
        <w:tabs>
          <w:tab w:val="left" w:pos="700"/>
        </w:tabs>
        <w:spacing w:line="360" w:lineRule="auto"/>
        <w:ind w:firstLine="440" w:firstLineChars="200"/>
        <w:rPr>
          <w:rFonts w:hint="eastAsia" w:ascii="宋体" w:hAnsi="宋体" w:eastAsia="宋体" w:cs="Times New Roman"/>
          <w:b w:val="0"/>
          <w:bCs w:val="0"/>
          <w:color w:val="auto"/>
          <w:sz w:val="22"/>
          <w:szCs w:val="21"/>
          <w:highlight w:val="none"/>
          <w:lang w:val="en-US" w:eastAsia="zh-CN" w:bidi="zh-CN"/>
        </w:rPr>
      </w:pPr>
      <w:r>
        <w:rPr>
          <w:rFonts w:hint="eastAsia" w:ascii="宋体" w:hAnsi="宋体" w:eastAsia="宋体" w:cs="Times New Roman"/>
          <w:b w:val="0"/>
          <w:bCs w:val="0"/>
          <w:color w:val="auto"/>
          <w:sz w:val="22"/>
          <w:szCs w:val="21"/>
          <w:highlight w:val="none"/>
          <w:lang w:val="en-US" w:eastAsia="zh-CN" w:bidi="zh-CN"/>
        </w:rPr>
        <w:t>考核评分95-100分为优秀，系数：1.1，当季度服务费全额发放；85-95（不含）分为合格，系数：1，当季度服务费全额发放；70-85（不含）分为一般，系数：0.9，当季度服务费发放90%；70分以下为不合格，系数：0.8，当季度服务费发放80%。连续两季度70分以下，发包人有权终止合同，将承包人清退出场。</w:t>
      </w:r>
    </w:p>
    <w:p>
      <w:pPr>
        <w:tabs>
          <w:tab w:val="left" w:pos="700"/>
        </w:tabs>
        <w:spacing w:line="360" w:lineRule="auto"/>
        <w:ind w:firstLine="440" w:firstLineChars="200"/>
        <w:rPr>
          <w:rFonts w:hint="eastAsia" w:cs="Times New Roman"/>
          <w:color w:val="auto"/>
          <w:szCs w:val="21"/>
          <w:highlight w:val="none"/>
          <w:lang w:val="en-US"/>
        </w:rPr>
      </w:pPr>
      <w:r>
        <w:rPr>
          <w:rFonts w:hint="eastAsia" w:cs="Times New Roman"/>
          <w:color w:val="auto"/>
          <w:szCs w:val="21"/>
          <w:highlight w:val="none"/>
          <w:lang w:val="en-US" w:eastAsia="zh-CN"/>
        </w:rPr>
        <w:t>3.2派驻人员</w:t>
      </w:r>
      <w:r>
        <w:rPr>
          <w:rFonts w:hint="eastAsia" w:cs="Times New Roman"/>
          <w:color w:val="auto"/>
          <w:szCs w:val="21"/>
          <w:highlight w:val="none"/>
          <w:lang w:val="en-US"/>
        </w:rPr>
        <w:t>考核评分95-100分为优秀，系数：1.1</w:t>
      </w:r>
      <w:r>
        <w:rPr>
          <w:rFonts w:hint="eastAsia" w:cs="Times New Roman"/>
          <w:color w:val="auto"/>
          <w:szCs w:val="21"/>
          <w:highlight w:val="none"/>
          <w:lang w:val="en-US" w:eastAsia="zh-CN"/>
        </w:rPr>
        <w:t>，</w:t>
      </w:r>
      <w:r>
        <w:rPr>
          <w:rFonts w:hint="eastAsia" w:cs="Times New Roman"/>
          <w:color w:val="auto"/>
          <w:szCs w:val="21"/>
          <w:highlight w:val="none"/>
          <w:lang w:val="en-US"/>
        </w:rPr>
        <w:t>当季度考核工资全额发放；80-94分为</w:t>
      </w:r>
      <w:r>
        <w:rPr>
          <w:rFonts w:hint="eastAsia" w:cs="Times New Roman"/>
          <w:color w:val="auto"/>
          <w:szCs w:val="21"/>
          <w:highlight w:val="none"/>
          <w:lang w:val="en-US" w:eastAsia="zh-CN"/>
        </w:rPr>
        <w:t>合格</w:t>
      </w:r>
      <w:r>
        <w:rPr>
          <w:rFonts w:hint="eastAsia" w:cs="Times New Roman"/>
          <w:color w:val="auto"/>
          <w:szCs w:val="21"/>
          <w:highlight w:val="none"/>
          <w:lang w:val="en-US"/>
        </w:rPr>
        <w:t>，系数：1</w:t>
      </w:r>
      <w:r>
        <w:rPr>
          <w:rFonts w:hint="eastAsia" w:cs="Times New Roman"/>
          <w:color w:val="auto"/>
          <w:szCs w:val="21"/>
          <w:highlight w:val="none"/>
          <w:lang w:val="en-US" w:eastAsia="zh-CN"/>
        </w:rPr>
        <w:t>，</w:t>
      </w:r>
      <w:r>
        <w:rPr>
          <w:rFonts w:hint="eastAsia" w:cs="Times New Roman"/>
          <w:color w:val="auto"/>
          <w:szCs w:val="21"/>
          <w:highlight w:val="none"/>
          <w:lang w:val="en-US"/>
        </w:rPr>
        <w:t>当季度考核工资全额发放；70-79分为一般，系数：0.9</w:t>
      </w:r>
      <w:r>
        <w:rPr>
          <w:rFonts w:hint="eastAsia" w:cs="Times New Roman"/>
          <w:color w:val="auto"/>
          <w:szCs w:val="21"/>
          <w:highlight w:val="none"/>
          <w:lang w:val="en-US" w:eastAsia="zh-CN"/>
        </w:rPr>
        <w:t>，</w:t>
      </w:r>
      <w:r>
        <w:rPr>
          <w:rFonts w:hint="eastAsia" w:cs="Times New Roman"/>
          <w:color w:val="auto"/>
          <w:szCs w:val="21"/>
          <w:highlight w:val="none"/>
          <w:lang w:val="en-US"/>
        </w:rPr>
        <w:t>当月考核工资发放90%；70分以下为</w:t>
      </w:r>
      <w:r>
        <w:rPr>
          <w:rFonts w:hint="eastAsia" w:cs="Times New Roman"/>
          <w:color w:val="auto"/>
          <w:szCs w:val="21"/>
          <w:highlight w:val="none"/>
          <w:lang w:val="en-US" w:eastAsia="zh-CN"/>
        </w:rPr>
        <w:t>不合格</w:t>
      </w:r>
      <w:r>
        <w:rPr>
          <w:rFonts w:hint="eastAsia" w:cs="Times New Roman"/>
          <w:color w:val="auto"/>
          <w:szCs w:val="21"/>
          <w:highlight w:val="none"/>
          <w:lang w:val="en-US"/>
        </w:rPr>
        <w:t>，系数：0.8</w:t>
      </w:r>
      <w:r>
        <w:rPr>
          <w:rFonts w:hint="eastAsia" w:cs="Times New Roman"/>
          <w:color w:val="auto"/>
          <w:szCs w:val="21"/>
          <w:highlight w:val="none"/>
          <w:lang w:val="en-US" w:eastAsia="zh-CN"/>
        </w:rPr>
        <w:t>，</w:t>
      </w:r>
      <w:r>
        <w:rPr>
          <w:rFonts w:hint="eastAsia" w:cs="Times New Roman"/>
          <w:color w:val="auto"/>
          <w:szCs w:val="21"/>
          <w:highlight w:val="none"/>
          <w:lang w:val="en-US"/>
        </w:rPr>
        <w:t>当月考核工资发放80%。连续两季度70分以下，发包人有权终止合同，将</w:t>
      </w:r>
      <w:r>
        <w:rPr>
          <w:rFonts w:hint="eastAsia" w:cs="Times New Roman"/>
          <w:color w:val="auto"/>
          <w:szCs w:val="21"/>
          <w:highlight w:val="none"/>
          <w:lang w:val="en-US" w:eastAsia="zh-CN"/>
        </w:rPr>
        <w:t>派驻工作人员</w:t>
      </w:r>
      <w:r>
        <w:rPr>
          <w:rFonts w:hint="eastAsia" w:cs="Times New Roman"/>
          <w:color w:val="auto"/>
          <w:szCs w:val="21"/>
          <w:highlight w:val="none"/>
          <w:lang w:val="en-US"/>
        </w:rPr>
        <w:t>清退出场。</w:t>
      </w:r>
    </w:p>
    <w:p>
      <w:pPr>
        <w:numPr>
          <w:ilvl w:val="-1"/>
          <w:numId w:val="0"/>
        </w:numPr>
        <w:tabs>
          <w:tab w:val="left" w:pos="700"/>
        </w:tabs>
        <w:spacing w:line="360" w:lineRule="auto"/>
        <w:ind w:firstLine="440" w:firstLineChars="200"/>
        <w:rPr>
          <w:rFonts w:cs="Times New Roman"/>
          <w:color w:val="auto"/>
          <w:szCs w:val="21"/>
          <w:highlight w:val="none"/>
          <w:lang w:val="en-US"/>
        </w:rPr>
      </w:pPr>
      <w:r>
        <w:rPr>
          <w:rFonts w:hint="eastAsia" w:cs="Times New Roman"/>
          <w:color w:val="auto"/>
          <w:szCs w:val="21"/>
          <w:highlight w:val="none"/>
          <w:lang w:val="en-US" w:eastAsia="zh-CN"/>
        </w:rPr>
        <w:t>4.</w:t>
      </w:r>
      <w:r>
        <w:rPr>
          <w:rFonts w:hint="eastAsia" w:cs="Times New Roman"/>
          <w:color w:val="auto"/>
          <w:szCs w:val="21"/>
          <w:highlight w:val="none"/>
          <w:lang w:val="en-US"/>
        </w:rPr>
        <w:t>若承包人违反本合同“承包人的责任和义务”有关内容，发包人有权要求承包人在3天内开始予以改正错误行为或恢复设施设备；如果承包人在3天内未开始采取实际行为纠正完善的，发包人将处以承包人1000元/天的违约金，并可以委托其它人完成应尽义务（其费用由承包人承担）；若承包人3次及以上视发包人依据合同书面提出的要求置之不理的，或承包人因为自身管理责任原因发生严重的安全及治安事件的，发包人有权终止合同，将承包人清退出场。同时发包人有权不支付不合格服务的费用，承包人还须承担相应赔偿责任。</w:t>
      </w:r>
    </w:p>
    <w:p>
      <w:pPr>
        <w:pStyle w:val="2"/>
        <w:numPr>
          <w:ilvl w:val="0"/>
          <w:numId w:val="0"/>
        </w:numPr>
        <w:ind w:firstLine="440" w:firstLineChars="200"/>
        <w:rPr>
          <w:rFonts w:cs="Times New Roman"/>
          <w:color w:val="auto"/>
          <w:sz w:val="22"/>
          <w:highlight w:val="none"/>
          <w:lang w:val="en-US"/>
        </w:rPr>
      </w:pPr>
      <w:r>
        <w:rPr>
          <w:rFonts w:hint="eastAsia" w:cs="Times New Roman"/>
          <w:color w:val="auto"/>
          <w:sz w:val="22"/>
          <w:szCs w:val="21"/>
          <w:highlight w:val="none"/>
          <w:lang w:val="en-US" w:eastAsia="zh-CN" w:bidi="zh-CN"/>
        </w:rPr>
        <w:t>5.</w:t>
      </w:r>
      <w:r>
        <w:rPr>
          <w:rFonts w:hint="eastAsia" w:ascii="宋体" w:hAnsi="宋体" w:eastAsia="宋体" w:cs="Times New Roman"/>
          <w:color w:val="auto"/>
          <w:sz w:val="22"/>
          <w:szCs w:val="21"/>
          <w:highlight w:val="none"/>
          <w:lang w:val="en-US" w:eastAsia="zh-CN" w:bidi="zh-CN"/>
        </w:rPr>
        <w:t>发包人针对承包</w:t>
      </w:r>
      <w:r>
        <w:rPr>
          <w:rFonts w:hint="eastAsia" w:cs="Times New Roman"/>
          <w:color w:val="auto"/>
          <w:sz w:val="22"/>
          <w:highlight w:val="none"/>
          <w:lang w:val="en-US"/>
        </w:rPr>
        <w:t>人的考核实施细则根据实际情况调整，以实际为准</w:t>
      </w:r>
      <w:r>
        <w:rPr>
          <w:rFonts w:hint="eastAsia" w:cs="Times New Roman"/>
          <w:color w:val="auto"/>
          <w:sz w:val="22"/>
          <w:highlight w:val="none"/>
          <w:lang w:val="en-US" w:eastAsia="zh-CN"/>
        </w:rPr>
        <w:t>。</w:t>
      </w:r>
    </w:p>
    <w:p>
      <w:pPr>
        <w:spacing w:before="120" w:beforeLines="50" w:after="120" w:afterLines="50"/>
        <w:ind w:left="0" w:firstLine="480" w:firstLineChars="200"/>
        <w:rPr>
          <w:rFonts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w:t>
      </w:r>
      <w:r>
        <w:rPr>
          <w:rFonts w:hint="eastAsia" w:cs="Times New Roman"/>
          <w:b/>
          <w:color w:val="000000" w:themeColor="text1"/>
          <w:sz w:val="24"/>
          <w:highlight w:val="none"/>
          <w14:textFill>
            <w14:solidFill>
              <w14:schemeClr w14:val="tx1"/>
            </w14:solidFill>
          </w14:textFill>
        </w:rPr>
        <w:t>．计量支付</w:t>
      </w:r>
    </w:p>
    <w:p>
      <w:pPr>
        <w:tabs>
          <w:tab w:val="left" w:pos="700"/>
        </w:tabs>
        <w:spacing w:line="360" w:lineRule="auto"/>
        <w:ind w:firstLine="440" w:firstLineChars="200"/>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r>
        <w:rPr>
          <w:rFonts w:hint="eastAsia" w:cs="Times New Roman"/>
          <w:color w:val="000000" w:themeColor="text1"/>
          <w:szCs w:val="21"/>
          <w:highlight w:val="none"/>
          <w:lang w:val="en-US"/>
          <w14:textFill>
            <w14:solidFill>
              <w14:schemeClr w14:val="tx1"/>
            </w14:solidFill>
          </w14:textFill>
        </w:rPr>
        <w:t>发包人每季度最后一个月的上旬，对承包人的日常管理情况进行考核（具体考评细则及评分标准参照</w:t>
      </w:r>
      <w:r>
        <w:rPr>
          <w:rFonts w:hint="eastAsia" w:cs="Times New Roman"/>
          <w:color w:val="000000" w:themeColor="text1"/>
          <w:szCs w:val="21"/>
          <w:highlight w:val="none"/>
          <w:lang w:val="en-US" w:eastAsia="zh-CN"/>
          <w14:textFill>
            <w14:solidFill>
              <w14:schemeClr w14:val="tx1"/>
            </w14:solidFill>
          </w14:textFill>
        </w:rPr>
        <w:t>发包人制定的</w:t>
      </w:r>
      <w:r>
        <w:rPr>
          <w:rFonts w:hint="eastAsia" w:cs="Times New Roman"/>
          <w:color w:val="000000" w:themeColor="text1"/>
          <w:szCs w:val="21"/>
          <w:highlight w:val="none"/>
          <w:lang w:val="en-US"/>
          <w14:textFill>
            <w14:solidFill>
              <w14:schemeClr w14:val="tx1"/>
            </w14:solidFill>
          </w14:textFill>
        </w:rPr>
        <w:t>季度考核评分表</w:t>
      </w:r>
      <w:r>
        <w:rPr>
          <w:rFonts w:hint="eastAsia" w:cs="Times New Roman"/>
          <w:color w:val="000000" w:themeColor="text1"/>
          <w:szCs w:val="21"/>
          <w:highlight w:val="none"/>
          <w:lang w:val="en-US" w:eastAsia="zh-CN"/>
          <w14:textFill>
            <w14:solidFill>
              <w14:schemeClr w14:val="tx1"/>
            </w14:solidFill>
          </w14:textFill>
        </w:rPr>
        <w:t>）。</w:t>
      </w:r>
    </w:p>
    <w:p>
      <w:pPr>
        <w:tabs>
          <w:tab w:val="left" w:pos="700"/>
        </w:tabs>
        <w:spacing w:line="360" w:lineRule="auto"/>
        <w:ind w:firstLine="440" w:firstLineChars="200"/>
        <w:rPr>
          <w:rFonts w:hint="eastAsia" w:cs="Times New Roman"/>
          <w:color w:val="000000" w:themeColor="text1"/>
          <w:szCs w:val="21"/>
          <w:highlight w:val="none"/>
          <w:lang w:val="en-US"/>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2.派驻</w:t>
      </w:r>
      <w:r>
        <w:rPr>
          <w:rFonts w:hint="eastAsia" w:cs="Times New Roman"/>
          <w:color w:val="000000" w:themeColor="text1"/>
          <w:szCs w:val="21"/>
          <w:highlight w:val="none"/>
          <w:lang w:val="en-US"/>
          <w14:textFill>
            <w14:solidFill>
              <w14:schemeClr w14:val="tx1"/>
            </w14:solidFill>
          </w14:textFill>
        </w:rPr>
        <w:t>人员工资按</w:t>
      </w:r>
      <w:r>
        <w:rPr>
          <w:rFonts w:hint="eastAsia" w:cs="Times New Roman"/>
          <w:color w:val="000000" w:themeColor="text1"/>
          <w:szCs w:val="21"/>
          <w:highlight w:val="none"/>
          <w:lang w:val="en-US" w:eastAsia="zh-CN"/>
          <w14:textFill>
            <w14:solidFill>
              <w14:schemeClr w14:val="tx1"/>
            </w14:solidFill>
          </w14:textFill>
        </w:rPr>
        <w:t>月</w:t>
      </w:r>
      <w:r>
        <w:rPr>
          <w:rFonts w:hint="eastAsia" w:cs="Times New Roman"/>
          <w:color w:val="000000" w:themeColor="text1"/>
          <w:szCs w:val="21"/>
          <w:highlight w:val="none"/>
          <w:lang w:val="en-US"/>
          <w14:textFill>
            <w14:solidFill>
              <w14:schemeClr w14:val="tx1"/>
            </w14:solidFill>
          </w14:textFill>
        </w:rPr>
        <w:t>度实际到位人员计算、暂估价据实列支</w:t>
      </w:r>
      <w:r>
        <w:rPr>
          <w:rFonts w:hint="eastAsia"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14:textFill>
            <w14:solidFill>
              <w14:schemeClr w14:val="tx1"/>
            </w14:solidFill>
          </w14:textFill>
        </w:rPr>
        <w:t>承包人须依法与雇佣人员签订合同、</w:t>
      </w:r>
      <w:r>
        <w:rPr>
          <w:rFonts w:hint="eastAsia" w:cs="Times New Roman"/>
          <w:color w:val="000000" w:themeColor="text1"/>
          <w:szCs w:val="21"/>
          <w:highlight w:val="none"/>
          <w:lang w:val="en-US" w:eastAsia="zh-CN"/>
          <w14:textFill>
            <w14:solidFill>
              <w14:schemeClr w14:val="tx1"/>
            </w14:solidFill>
          </w14:textFill>
        </w:rPr>
        <w:t>每月15日</w:t>
      </w:r>
      <w:r>
        <w:rPr>
          <w:rFonts w:hint="eastAsia" w:cs="Times New Roman"/>
          <w:color w:val="000000" w:themeColor="text1"/>
          <w:szCs w:val="21"/>
          <w:highlight w:val="none"/>
          <w:lang w:val="en-US"/>
          <w14:textFill>
            <w14:solidFill>
              <w14:schemeClr w14:val="tx1"/>
            </w14:solidFill>
          </w14:textFill>
        </w:rPr>
        <w:t>按时支付</w:t>
      </w:r>
      <w:r>
        <w:rPr>
          <w:rFonts w:hint="eastAsia" w:cs="Times New Roman"/>
          <w:color w:val="000000" w:themeColor="text1"/>
          <w:szCs w:val="21"/>
          <w:highlight w:val="none"/>
          <w:lang w:val="en-US" w:eastAsia="zh-CN"/>
          <w14:textFill>
            <w14:solidFill>
              <w14:schemeClr w14:val="tx1"/>
            </w14:solidFill>
          </w14:textFill>
        </w:rPr>
        <w:t>派驻</w:t>
      </w:r>
      <w:r>
        <w:rPr>
          <w:rFonts w:hint="eastAsia" w:cs="Times New Roman"/>
          <w:color w:val="000000" w:themeColor="text1"/>
          <w:szCs w:val="21"/>
          <w:highlight w:val="none"/>
          <w:lang w:val="en-US"/>
          <w14:textFill>
            <w14:solidFill>
              <w14:schemeClr w14:val="tx1"/>
            </w14:solidFill>
          </w14:textFill>
        </w:rPr>
        <w:t>人员的工资、依法交纳相关费用；承包人与雇佣人员的一切纠纷，以及承包人为履行合同所雇佣的全部人员若发生一切意外事故，均由承包人自行解决妥当。</w:t>
      </w:r>
    </w:p>
    <w:p>
      <w:pPr>
        <w:tabs>
          <w:tab w:val="left" w:pos="700"/>
        </w:tabs>
        <w:spacing w:line="360" w:lineRule="auto"/>
        <w:ind w:firstLine="440" w:firstLineChars="200"/>
        <w:rPr>
          <w:rFonts w:hint="eastAsia" w:cs="Times New Roman"/>
          <w:color w:val="000000" w:themeColor="text1"/>
          <w:szCs w:val="21"/>
          <w:highlight w:val="none"/>
          <w:lang w:val="en-US"/>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3.</w:t>
      </w:r>
      <w:r>
        <w:rPr>
          <w:rFonts w:hint="eastAsia" w:cs="Times New Roman"/>
          <w:color w:val="000000" w:themeColor="text1"/>
          <w:sz w:val="22"/>
          <w:szCs w:val="21"/>
          <w:highlight w:val="none"/>
          <w:lang w:val="en-US" w:eastAsia="zh-CN"/>
          <w14:textFill>
            <w14:solidFill>
              <w14:schemeClr w14:val="tx1"/>
            </w14:solidFill>
          </w14:textFill>
        </w:rPr>
        <w:t>承包人须</w:t>
      </w:r>
      <w:r>
        <w:rPr>
          <w:rFonts w:hint="eastAsia" w:cs="Times New Roman"/>
          <w:color w:val="000000" w:themeColor="text1"/>
          <w:szCs w:val="21"/>
          <w:highlight w:val="none"/>
          <w:lang w:val="en-US" w:eastAsia="zh-CN"/>
          <w14:textFill>
            <w14:solidFill>
              <w14:schemeClr w14:val="tx1"/>
            </w14:solidFill>
          </w14:textFill>
        </w:rPr>
        <w:t>每月15日</w:t>
      </w:r>
      <w:r>
        <w:rPr>
          <w:rFonts w:hint="eastAsia" w:cs="Times New Roman"/>
          <w:color w:val="000000" w:themeColor="text1"/>
          <w:szCs w:val="21"/>
          <w:highlight w:val="none"/>
          <w:lang w:val="en-US"/>
          <w14:textFill>
            <w14:solidFill>
              <w14:schemeClr w14:val="tx1"/>
            </w14:solidFill>
          </w14:textFill>
        </w:rPr>
        <w:t>按时支付</w:t>
      </w:r>
      <w:r>
        <w:rPr>
          <w:rFonts w:hint="eastAsia" w:cs="Times New Roman"/>
          <w:color w:val="000000" w:themeColor="text1"/>
          <w:szCs w:val="21"/>
          <w:highlight w:val="none"/>
          <w:lang w:val="en-US" w:eastAsia="zh-CN"/>
          <w14:textFill>
            <w14:solidFill>
              <w14:schemeClr w14:val="tx1"/>
            </w14:solidFill>
          </w14:textFill>
        </w:rPr>
        <w:t>派驻</w:t>
      </w:r>
      <w:r>
        <w:rPr>
          <w:rFonts w:hint="eastAsia" w:cs="Times New Roman"/>
          <w:color w:val="000000" w:themeColor="text1"/>
          <w:szCs w:val="21"/>
          <w:highlight w:val="none"/>
          <w:lang w:val="en-US"/>
          <w14:textFill>
            <w14:solidFill>
              <w14:schemeClr w14:val="tx1"/>
            </w14:solidFill>
          </w14:textFill>
        </w:rPr>
        <w:t>人员工资</w:t>
      </w:r>
      <w:r>
        <w:rPr>
          <w:rFonts w:hint="eastAsia" w:cs="Times New Roman"/>
          <w:color w:val="000000" w:themeColor="text1"/>
          <w:szCs w:val="21"/>
          <w:highlight w:val="none"/>
          <w:lang w:val="en-US" w:eastAsia="zh-CN"/>
          <w14:textFill>
            <w14:solidFill>
              <w14:schemeClr w14:val="tx1"/>
            </w14:solidFill>
          </w14:textFill>
        </w:rPr>
        <w:t>，并</w:t>
      </w:r>
      <w:r>
        <w:rPr>
          <w:rFonts w:hint="eastAsia" w:cs="Times New Roman"/>
          <w:color w:val="000000" w:themeColor="text1"/>
          <w:sz w:val="22"/>
          <w:szCs w:val="21"/>
          <w:highlight w:val="none"/>
          <w:lang w:val="en-US" w:eastAsia="zh-CN"/>
          <w14:textFill>
            <w14:solidFill>
              <w14:schemeClr w14:val="tx1"/>
            </w14:solidFill>
          </w14:textFill>
        </w:rPr>
        <w:t>及时提供</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上月</w:t>
      </w:r>
      <w:r>
        <w:rPr>
          <w:rFonts w:hint="eastAsia" w:cs="Times New Roman"/>
          <w:color w:val="000000" w:themeColor="text1"/>
          <w:sz w:val="22"/>
          <w:szCs w:val="21"/>
          <w:highlight w:val="none"/>
          <w:lang w:val="en-US" w:eastAsia="zh-CN"/>
          <w14:textFill>
            <w14:solidFill>
              <w14:schemeClr w14:val="tx1"/>
            </w14:solidFill>
          </w14:textFill>
        </w:rPr>
        <w:t>实际产生的</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人工费用及服务费用</w:t>
      </w:r>
      <w:r>
        <w:rPr>
          <w:rFonts w:hint="eastAsia" w:cs="Times New Roman"/>
          <w:color w:val="000000" w:themeColor="text1"/>
          <w:sz w:val="22"/>
          <w:szCs w:val="21"/>
          <w:highlight w:val="none"/>
          <w:lang w:val="en-US" w:eastAsia="zh-CN"/>
          <w14:textFill>
            <w14:solidFill>
              <w14:schemeClr w14:val="tx1"/>
            </w14:solidFill>
          </w14:textFill>
        </w:rPr>
        <w:t>盖章单据及相应票据，根据规定流程，由发包人每月25日前完成</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计量支付</w:t>
      </w:r>
      <w:r>
        <w:rPr>
          <w:rFonts w:hint="eastAsia" w:cs="Times New Roman"/>
          <w:color w:val="000000" w:themeColor="text1"/>
          <w:sz w:val="22"/>
          <w:szCs w:val="21"/>
          <w:highlight w:val="none"/>
          <w:lang w:val="en-US" w:eastAsia="zh-CN"/>
          <w14:textFill>
            <w14:solidFill>
              <w14:schemeClr w14:val="tx1"/>
            </w14:solidFill>
          </w14:textFill>
        </w:rPr>
        <w:t>。</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每季度最后一个月，</w:t>
      </w:r>
      <w:r>
        <w:rPr>
          <w:rFonts w:hint="eastAsia" w:cs="Times New Roman"/>
          <w:color w:val="000000" w:themeColor="text1"/>
          <w:sz w:val="22"/>
          <w:szCs w:val="21"/>
          <w:highlight w:val="none"/>
          <w:lang w:val="en-US" w:eastAsia="zh-CN"/>
          <w14:textFill>
            <w14:solidFill>
              <w14:schemeClr w14:val="tx1"/>
            </w14:solidFill>
          </w14:textFill>
        </w:rPr>
        <w:t>发包人</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根据实际</w:t>
      </w:r>
      <w:r>
        <w:rPr>
          <w:rFonts w:hint="eastAsia" w:cs="Times New Roman"/>
          <w:color w:val="000000" w:themeColor="text1"/>
          <w:sz w:val="22"/>
          <w:szCs w:val="21"/>
          <w:highlight w:val="none"/>
          <w:lang w:val="en-US" w:eastAsia="zh-CN"/>
          <w14:textFill>
            <w14:solidFill>
              <w14:schemeClr w14:val="tx1"/>
            </w14:solidFill>
          </w14:textFill>
        </w:rPr>
        <w:t>派驻</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服务人员到位情况和考核情况对当季度费用进行清算</w:t>
      </w:r>
      <w:r>
        <w:rPr>
          <w:rFonts w:hint="eastAsia" w:cs="Times New Roman"/>
          <w:color w:val="000000" w:themeColor="text1"/>
          <w:sz w:val="22"/>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14:textFill>
            <w14:solidFill>
              <w14:schemeClr w14:val="tx1"/>
            </w14:solidFill>
          </w14:textFill>
        </w:rPr>
        <w:t>所有服务费在扣除相应考核工资后支付</w:t>
      </w:r>
      <w:r>
        <w:rPr>
          <w:rFonts w:hint="eastAsia" w:ascii="宋体" w:hAnsi="宋体" w:eastAsia="宋体" w:cs="Times New Roman"/>
          <w:color w:val="000000" w:themeColor="text1"/>
          <w:sz w:val="22"/>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14:textFill>
            <w14:solidFill>
              <w14:schemeClr w14:val="tx1"/>
            </w14:solidFill>
          </w14:textFill>
        </w:rPr>
        <w:t>由发包人派驻的现场管理人员、公司相关协调联系部门等审核后，依据上级主管单位规定流程，凭国家有效税务票据办理计量支付手续。</w:t>
      </w:r>
    </w:p>
    <w:p>
      <w:pPr>
        <w:pStyle w:val="14"/>
        <w:spacing w:line="360" w:lineRule="auto"/>
        <w:ind w:firstLine="480" w:firstLineChars="200"/>
        <w:rPr>
          <w:rFonts w:hAnsi="宋体" w:cs="Arial Unicode MS"/>
          <w:color w:val="000000" w:themeColor="text1"/>
          <w:highlight w:val="none"/>
          <w14:textFill>
            <w14:solidFill>
              <w14:schemeClr w14:val="tx1"/>
            </w14:solidFill>
          </w14:textFill>
        </w:rPr>
      </w:pPr>
      <w:r>
        <w:rPr>
          <w:rFonts w:hint="eastAsia" w:hAnsi="宋体" w:cs="Times New Roman"/>
          <w:b/>
          <w:color w:val="000000" w:themeColor="text1"/>
          <w:sz w:val="24"/>
          <w:highlight w:val="none"/>
          <w:lang w:val="en-US"/>
          <w14:textFill>
            <w14:solidFill>
              <w14:schemeClr w14:val="tx1"/>
            </w14:solidFill>
          </w14:textFill>
        </w:rPr>
        <w:t>8</w:t>
      </w:r>
      <w:r>
        <w:rPr>
          <w:rFonts w:hint="eastAsia" w:hAnsi="宋体" w:cs="Times New Roman"/>
          <w:b/>
          <w:color w:val="000000" w:themeColor="text1"/>
          <w:sz w:val="24"/>
          <w:highlight w:val="none"/>
          <w14:textFill>
            <w14:solidFill>
              <w14:schemeClr w14:val="tx1"/>
            </w14:solidFill>
          </w14:textFill>
        </w:rPr>
        <w:t>.</w:t>
      </w:r>
      <w:r>
        <w:rPr>
          <w:rFonts w:hint="eastAsia" w:hAnsi="宋体" w:cs="Times New Roman"/>
          <w:b/>
          <w:color w:val="000000" w:themeColor="text1"/>
          <w:sz w:val="24"/>
          <w:szCs w:val="24"/>
          <w:highlight w:val="none"/>
          <w:lang w:val="en-US" w:bidi="ar-SA"/>
          <w14:textFill>
            <w14:solidFill>
              <w14:schemeClr w14:val="tx1"/>
            </w14:solidFill>
          </w14:textFill>
        </w:rPr>
        <w:t>本合同价为人民币</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hAnsi="宋体" w:cs="Times New Roman"/>
          <w:color w:val="000000" w:themeColor="text1"/>
          <w:kern w:val="2"/>
          <w:sz w:val="21"/>
          <w:highlight w:val="none"/>
          <w:lang w:val="en-US" w:bidi="ar-SA"/>
          <w14:textFill>
            <w14:solidFill>
              <w14:schemeClr w14:val="tx1"/>
            </w14:solidFill>
          </w14:textFill>
        </w:rPr>
        <w:t>含税，增值税普通发票、税率6%）：￥</w:t>
      </w:r>
      <w:r>
        <w:rPr>
          <w:rFonts w:hint="eastAsia" w:hAnsi="宋体" w:cs="Times New Roman"/>
          <w:color w:val="000000" w:themeColor="text1"/>
          <w:kern w:val="2"/>
          <w:sz w:val="21"/>
          <w:highlight w:val="none"/>
          <w:u w:val="single"/>
          <w:lang w:val="en-US" w:bidi="ar-SA"/>
          <w14:textFill>
            <w14:solidFill>
              <w14:schemeClr w14:val="tx1"/>
            </w14:solidFill>
          </w14:textFill>
        </w:rPr>
        <w:t xml:space="preserve">    </w:t>
      </w:r>
      <w:r>
        <w:rPr>
          <w:rFonts w:hint="eastAsia" w:hAnsi="宋体" w:cs="Times New Roman"/>
          <w:color w:val="000000" w:themeColor="text1"/>
          <w:kern w:val="2"/>
          <w:sz w:val="21"/>
          <w:highlight w:val="none"/>
          <w:lang w:val="en-US" w:bidi="ar-SA"/>
          <w14:textFill>
            <w14:solidFill>
              <w14:schemeClr w14:val="tx1"/>
            </w14:solidFill>
          </w14:textFill>
        </w:rPr>
        <w:t>万元/年，大写：</w:t>
      </w:r>
      <w:r>
        <w:rPr>
          <w:rFonts w:hint="eastAsia" w:hAnsi="宋体" w:cs="Times New Roman"/>
          <w:color w:val="000000" w:themeColor="text1"/>
          <w:kern w:val="2"/>
          <w:sz w:val="21"/>
          <w:highlight w:val="none"/>
          <w:u w:val="single"/>
          <w:lang w:val="en-US" w:bidi="ar-SA"/>
          <w14:textFill>
            <w14:solidFill>
              <w14:schemeClr w14:val="tx1"/>
            </w14:solidFill>
          </w14:textFill>
        </w:rPr>
        <w:t xml:space="preserve">   </w:t>
      </w:r>
      <w:r>
        <w:rPr>
          <w:rFonts w:hint="eastAsia" w:hAnsi="宋体" w:cs="Times New Roman"/>
          <w:color w:val="000000" w:themeColor="text1"/>
          <w:kern w:val="2"/>
          <w:sz w:val="21"/>
          <w:highlight w:val="none"/>
          <w:lang w:val="en-US" w:bidi="ar-SA"/>
          <w14:textFill>
            <w14:solidFill>
              <w14:schemeClr w14:val="tx1"/>
            </w14:solidFill>
          </w14:textFill>
        </w:rPr>
        <w:t>元整每年。</w:t>
      </w:r>
      <w:r>
        <w:rPr>
          <w:rFonts w:hint="eastAsia" w:hAnsi="宋体" w:cs="Times New Roman"/>
          <w:color w:val="000000" w:themeColor="text1"/>
          <w:kern w:val="2"/>
          <w:sz w:val="21"/>
          <w:highlight w:val="none"/>
          <w:lang w:val="en-US" w:eastAsia="zh-CN" w:bidi="ar-SA"/>
          <w14:textFill>
            <w14:solidFill>
              <w14:schemeClr w14:val="tx1"/>
            </w14:solidFill>
          </w14:textFill>
        </w:rPr>
        <w:t>此合同价格为暂估价，根据实际到位人员及实际发生费用据实结算。</w:t>
      </w:r>
    </w:p>
    <w:p>
      <w:pPr>
        <w:pStyle w:val="14"/>
        <w:spacing w:line="360" w:lineRule="auto"/>
        <w:ind w:firstLine="480" w:firstLineChars="200"/>
        <w:rPr>
          <w:rFonts w:hAnsi="宋体" w:cs="Times New Roman"/>
          <w:b/>
          <w:color w:val="000000" w:themeColor="text1"/>
          <w:sz w:val="24"/>
          <w:highlight w:val="none"/>
          <w14:textFill>
            <w14:solidFill>
              <w14:schemeClr w14:val="tx1"/>
            </w14:solidFill>
          </w14:textFill>
        </w:rPr>
      </w:pPr>
      <w:r>
        <w:rPr>
          <w:rFonts w:hint="eastAsia" w:hAnsi="宋体" w:cs="Times New Roman"/>
          <w:b/>
          <w:color w:val="000000" w:themeColor="text1"/>
          <w:sz w:val="24"/>
          <w:highlight w:val="none"/>
          <w:lang w:val="en-US"/>
          <w14:textFill>
            <w14:solidFill>
              <w14:schemeClr w14:val="tx1"/>
            </w14:solidFill>
          </w14:textFill>
        </w:rPr>
        <w:t>9.</w:t>
      </w:r>
      <w:r>
        <w:rPr>
          <w:rFonts w:hint="eastAsia" w:hAnsi="宋体" w:cs="Times New Roman"/>
          <w:b/>
          <w:color w:val="000000" w:themeColor="text1"/>
          <w:sz w:val="24"/>
          <w:highlight w:val="none"/>
          <w14:textFill>
            <w14:solidFill>
              <w14:schemeClr w14:val="tx1"/>
            </w14:solidFill>
          </w14:textFill>
        </w:rPr>
        <w:t>双方开票信息：</w:t>
      </w:r>
    </w:p>
    <w:p>
      <w:pPr>
        <w:tabs>
          <w:tab w:val="left" w:pos="700"/>
        </w:tabs>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发包人：</w:t>
      </w:r>
      <w:r>
        <w:rPr>
          <w:rFonts w:hint="eastAsia"/>
          <w:color w:val="000000" w:themeColor="text1"/>
          <w:sz w:val="21"/>
          <w:szCs w:val="21"/>
          <w:highlight w:val="none"/>
          <w:u w:val="single"/>
          <w:lang w:val="en-US"/>
          <w14:textFill>
            <w14:solidFill>
              <w14:schemeClr w14:val="tx1"/>
            </w14:solidFill>
          </w14:textFill>
        </w:rPr>
        <w:t xml:space="preserve"> 四川都金山地轨道交通有限责任公司</w:t>
      </w:r>
      <w:r>
        <w:rPr>
          <w:rFonts w:hint="eastAsia"/>
          <w:color w:val="000000" w:themeColor="text1"/>
          <w:sz w:val="21"/>
          <w:szCs w:val="21"/>
          <w:highlight w:val="none"/>
          <w:u w:val="single"/>
          <w14:textFill>
            <w14:solidFill>
              <w14:schemeClr w14:val="tx1"/>
            </w14:solidFill>
          </w14:textFill>
        </w:rPr>
        <w:t xml:space="preserve"> </w:t>
      </w:r>
    </w:p>
    <w:p>
      <w:pPr>
        <w:tabs>
          <w:tab w:val="left" w:pos="700"/>
        </w:tabs>
        <w:spacing w:line="360" w:lineRule="auto"/>
        <w:ind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国税纳税人识别号：</w:t>
      </w:r>
    </w:p>
    <w:p>
      <w:pPr>
        <w:tabs>
          <w:tab w:val="left" w:pos="700"/>
        </w:tabs>
        <w:spacing w:line="360" w:lineRule="auto"/>
        <w:ind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开户银行：</w:t>
      </w:r>
    </w:p>
    <w:p>
      <w:pPr>
        <w:tabs>
          <w:tab w:val="left" w:pos="700"/>
        </w:tabs>
        <w:spacing w:line="360" w:lineRule="auto"/>
        <w:ind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帐    号：</w:t>
      </w:r>
    </w:p>
    <w:p>
      <w:pPr>
        <w:tabs>
          <w:tab w:val="left" w:pos="700"/>
        </w:tabs>
        <w:spacing w:line="360" w:lineRule="auto"/>
        <w:ind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 xml:space="preserve">注册地址: </w:t>
      </w:r>
    </w:p>
    <w:p>
      <w:pPr>
        <w:tabs>
          <w:tab w:val="left" w:pos="700"/>
        </w:tabs>
        <w:spacing w:line="360" w:lineRule="auto"/>
        <w:ind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 xml:space="preserve">电    话：         </w:t>
      </w:r>
    </w:p>
    <w:p>
      <w:pPr>
        <w:adjustRightInd w:val="0"/>
        <w:snapToGrid w:val="0"/>
        <w:spacing w:line="360" w:lineRule="auto"/>
        <w:ind w:firstLine="420" w:firstLineChars="200"/>
        <w:contextualSpacing/>
        <w:rPr>
          <w:color w:val="000000" w:themeColor="text1"/>
          <w:sz w:val="21"/>
          <w:szCs w:val="21"/>
          <w:highlight w:val="none"/>
          <w:u w:val="singl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承包人：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p>
    <w:p>
      <w:pPr>
        <w:tabs>
          <w:tab w:val="center" w:pos="6771"/>
        </w:tabs>
        <w:snapToGrid w:val="0"/>
        <w:spacing w:line="360" w:lineRule="auto"/>
        <w:ind w:firstLine="420" w:firstLineChars="200"/>
        <w:contextualSpacing/>
        <w:rPr>
          <w:color w:val="000000" w:themeColor="text1"/>
          <w:sz w:val="21"/>
          <w:szCs w:val="21"/>
          <w:highlight w:val="none"/>
          <w:u w:val="singl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国税纳税人识别号：</w:t>
      </w:r>
      <w:r>
        <w:rPr>
          <w:rFonts w:hint="eastAsia"/>
          <w:color w:val="000000" w:themeColor="text1"/>
          <w:sz w:val="21"/>
          <w:szCs w:val="21"/>
          <w:highlight w:val="none"/>
          <w:u w:val="single"/>
          <w:lang w:val="en-US"/>
          <w14:textFill>
            <w14:solidFill>
              <w14:schemeClr w14:val="tx1"/>
            </w14:solidFill>
          </w14:textFill>
        </w:rPr>
        <w:t xml:space="preserve">              </w:t>
      </w:r>
    </w:p>
    <w:p>
      <w:pPr>
        <w:snapToGrid w:val="0"/>
        <w:spacing w:line="360" w:lineRule="auto"/>
        <w:ind w:firstLine="420" w:firstLineChars="200"/>
        <w:contextualSpacing/>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开户银行：</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snapToGrid w:val="0"/>
        <w:spacing w:line="360" w:lineRule="auto"/>
        <w:ind w:firstLine="420" w:firstLineChars="200"/>
        <w:contextualSpacing/>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帐    号：</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contextualSpacing/>
        <w:rPr>
          <w:color w:val="000000" w:themeColor="text1"/>
          <w:sz w:val="21"/>
          <w:szCs w:val="21"/>
          <w:highlight w:val="none"/>
          <w:u w:val="singl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注册地址：</w:t>
      </w:r>
      <w:r>
        <w:rPr>
          <w:rFonts w:hint="eastAsia"/>
          <w:color w:val="000000" w:themeColor="text1"/>
          <w:sz w:val="21"/>
          <w:szCs w:val="21"/>
          <w:highlight w:val="none"/>
          <w:u w:val="single"/>
          <w:lang w:val="en-US"/>
          <w14:textFill>
            <w14:solidFill>
              <w14:schemeClr w14:val="tx1"/>
            </w14:solidFill>
          </w14:textFill>
        </w:rPr>
        <w:t xml:space="preserve">                      </w:t>
      </w:r>
    </w:p>
    <w:p>
      <w:pPr>
        <w:snapToGrid w:val="0"/>
        <w:spacing w:line="360" w:lineRule="auto"/>
        <w:ind w:firstLine="420" w:firstLineChars="200"/>
        <w:contextualSpacing/>
        <w:rPr>
          <w:b/>
          <w:bCs/>
          <w:color w:val="000000" w:themeColor="text1"/>
          <w:sz w:val="21"/>
          <w:szCs w:val="21"/>
          <w:highlight w:val="none"/>
          <w:u w:val="singl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电    话：</w:t>
      </w:r>
      <w:r>
        <w:rPr>
          <w:rFonts w:hint="eastAsia"/>
          <w:color w:val="000000" w:themeColor="text1"/>
          <w:sz w:val="21"/>
          <w:szCs w:val="21"/>
          <w:highlight w:val="none"/>
          <w:u w:val="single"/>
          <w:lang w:val="en-US"/>
          <w14:textFill>
            <w14:solidFill>
              <w14:schemeClr w14:val="tx1"/>
            </w14:solidFill>
          </w14:textFill>
        </w:rPr>
        <w:t xml:space="preserve">                      </w:t>
      </w:r>
    </w:p>
    <w:p>
      <w:pPr>
        <w:pStyle w:val="14"/>
        <w:autoSpaceDE/>
        <w:autoSpaceDN/>
        <w:spacing w:line="360" w:lineRule="auto"/>
        <w:ind w:firstLine="482"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合同期限</w:t>
      </w:r>
    </w:p>
    <w:p>
      <w:pPr>
        <w:pStyle w:val="14"/>
        <w:autoSpaceDE/>
        <w:autoSpaceDN/>
        <w:spacing w:line="360" w:lineRule="auto"/>
        <w:ind w:left="440"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本合同期限为</w:t>
      </w:r>
      <w:r>
        <w:rPr>
          <w:rFonts w:hint="eastAsia" w:hAnsi="宋体"/>
          <w:color w:val="000000" w:themeColor="text1"/>
          <w:sz w:val="21"/>
          <w:highlight w:val="none"/>
          <w:lang w:val="en-US"/>
          <w14:textFill>
            <w14:solidFill>
              <w14:schemeClr w14:val="tx1"/>
            </w14:solidFill>
          </w14:textFill>
        </w:rPr>
        <w:t>1</w:t>
      </w:r>
      <w:r>
        <w:rPr>
          <w:rFonts w:hint="eastAsia" w:hAnsi="宋体"/>
          <w:color w:val="000000" w:themeColor="text1"/>
          <w:sz w:val="21"/>
          <w:highlight w:val="none"/>
          <w14:textFill>
            <w14:solidFill>
              <w14:schemeClr w14:val="tx1"/>
            </w14:solidFill>
          </w14:textFill>
        </w:rPr>
        <w:t>年</w:t>
      </w:r>
      <w:r>
        <w:rPr>
          <w:rFonts w:hint="eastAsia" w:hAnsi="宋体"/>
          <w:bCs/>
          <w:color w:val="000000" w:themeColor="text1"/>
          <w:sz w:val="21"/>
          <w:highlight w:val="none"/>
          <w14:textFill>
            <w14:solidFill>
              <w14:schemeClr w14:val="tx1"/>
            </w14:solidFill>
          </w14:textFill>
        </w:rPr>
        <w:t>，每年签订一次，本次</w:t>
      </w:r>
      <w:r>
        <w:rPr>
          <w:rFonts w:hint="eastAsia" w:hAnsi="宋体"/>
          <w:bCs/>
          <w:color w:val="000000" w:themeColor="text1"/>
          <w:sz w:val="21"/>
          <w:highlight w:val="none"/>
          <w:lang w:val="en-US"/>
          <w14:textFill>
            <w14:solidFill>
              <w14:schemeClr w14:val="tx1"/>
            </w14:solidFill>
          </w14:textFill>
        </w:rPr>
        <w:t>续签</w:t>
      </w:r>
      <w:r>
        <w:rPr>
          <w:rFonts w:hint="eastAsia" w:hAnsi="宋体"/>
          <w:bCs/>
          <w:color w:val="000000" w:themeColor="text1"/>
          <w:sz w:val="21"/>
          <w:highlight w:val="none"/>
          <w14:textFill>
            <w14:solidFill>
              <w14:schemeClr w14:val="tx1"/>
            </w14:solidFill>
          </w14:textFill>
        </w:rPr>
        <w:t>合同期限为</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年</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月</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日至</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年</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月</w:t>
      </w:r>
      <w:r>
        <w:rPr>
          <w:rFonts w:hint="eastAsia" w:hAnsi="宋体"/>
          <w:color w:val="000000" w:themeColor="text1"/>
          <w:sz w:val="21"/>
          <w:highlight w:val="none"/>
          <w:u w:val="single"/>
          <w:lang w:val="en-US"/>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日。经发包人考核，认为乙方履约情况良好，方可续签次年合同。</w:t>
      </w:r>
    </w:p>
    <w:p>
      <w:pPr>
        <w:pStyle w:val="14"/>
        <w:autoSpaceDE/>
        <w:autoSpaceDN/>
        <w:spacing w:line="360" w:lineRule="auto"/>
        <w:ind w:firstLine="482" w:firstLineChars="200"/>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11.附则</w:t>
      </w:r>
    </w:p>
    <w:p>
      <w:pPr>
        <w:pStyle w:val="14"/>
        <w:autoSpaceDE/>
        <w:autoSpaceDN/>
        <w:spacing w:line="360" w:lineRule="auto"/>
        <w:ind w:left="440" w:firstLine="420" w:firstLineChars="200"/>
        <w:rPr>
          <w:rFonts w:hAnsi="宋体"/>
          <w:color w:val="auto"/>
          <w:sz w:val="21"/>
          <w:highlight w:val="none"/>
        </w:rPr>
      </w:pPr>
      <w:r>
        <w:rPr>
          <w:rFonts w:hint="eastAsia" w:hAnsi="宋体"/>
          <w:color w:val="auto"/>
          <w:sz w:val="21"/>
          <w:highlight w:val="none"/>
          <w:lang w:val="en-US"/>
        </w:rPr>
        <w:t>1、</w:t>
      </w:r>
      <w:r>
        <w:rPr>
          <w:rFonts w:hint="eastAsia" w:hAnsi="宋体"/>
          <w:color w:val="auto"/>
          <w:sz w:val="21"/>
          <w:highlight w:val="none"/>
        </w:rPr>
        <w:t>本协议书由双方法定代表人或其授权的代理人签署与加盖公章后生效。</w:t>
      </w:r>
    </w:p>
    <w:p>
      <w:pPr>
        <w:pStyle w:val="14"/>
        <w:autoSpaceDE/>
        <w:autoSpaceDN/>
        <w:spacing w:line="360" w:lineRule="auto"/>
        <w:ind w:left="440" w:firstLine="420" w:firstLineChars="200"/>
        <w:rPr>
          <w:rFonts w:hAnsi="宋体"/>
          <w:color w:val="auto"/>
          <w:sz w:val="21"/>
          <w:highlight w:val="none"/>
        </w:rPr>
      </w:pPr>
      <w:r>
        <w:rPr>
          <w:rFonts w:hint="eastAsia" w:hAnsi="宋体"/>
          <w:color w:val="auto"/>
          <w:sz w:val="21"/>
          <w:highlight w:val="none"/>
          <w:lang w:val="en-US"/>
        </w:rPr>
        <w:t>2、</w:t>
      </w:r>
      <w:r>
        <w:rPr>
          <w:rFonts w:hint="eastAsia" w:hAnsi="宋体"/>
          <w:color w:val="auto"/>
          <w:sz w:val="21"/>
          <w:highlight w:val="none"/>
        </w:rPr>
        <w:t>本协议书正本</w:t>
      </w:r>
      <w:r>
        <w:rPr>
          <w:rFonts w:hint="eastAsia" w:hAnsi="宋体"/>
          <w:color w:val="auto"/>
          <w:sz w:val="21"/>
          <w:highlight w:val="none"/>
          <w:lang w:val="en-US"/>
        </w:rPr>
        <w:t>肆</w:t>
      </w:r>
      <w:r>
        <w:rPr>
          <w:rFonts w:hint="eastAsia" w:hAnsi="宋体"/>
          <w:color w:val="auto"/>
          <w:sz w:val="21"/>
          <w:highlight w:val="none"/>
        </w:rPr>
        <w:t>份、副本</w:t>
      </w:r>
      <w:r>
        <w:rPr>
          <w:rFonts w:hint="eastAsia" w:hAnsi="宋体"/>
          <w:color w:val="auto"/>
          <w:sz w:val="21"/>
          <w:highlight w:val="none"/>
          <w:lang w:val="en-US"/>
        </w:rPr>
        <w:t>贰</w:t>
      </w:r>
      <w:r>
        <w:rPr>
          <w:rFonts w:hint="eastAsia" w:hAnsi="宋体"/>
          <w:color w:val="auto"/>
          <w:sz w:val="21"/>
          <w:highlight w:val="none"/>
        </w:rPr>
        <w:t>份，合同双方各执正本</w:t>
      </w:r>
      <w:r>
        <w:rPr>
          <w:rFonts w:hint="eastAsia" w:hAnsi="宋体"/>
          <w:color w:val="auto"/>
          <w:sz w:val="21"/>
          <w:highlight w:val="none"/>
          <w:lang w:val="en-US"/>
        </w:rPr>
        <w:t>贰</w:t>
      </w:r>
      <w:r>
        <w:rPr>
          <w:rFonts w:hint="eastAsia" w:hAnsi="宋体"/>
          <w:color w:val="auto"/>
          <w:sz w:val="21"/>
          <w:highlight w:val="none"/>
        </w:rPr>
        <w:t>份，副本</w:t>
      </w:r>
      <w:r>
        <w:rPr>
          <w:rFonts w:hint="eastAsia" w:hAnsi="宋体"/>
          <w:color w:val="auto"/>
          <w:sz w:val="21"/>
          <w:highlight w:val="none"/>
          <w:lang w:val="en-US"/>
        </w:rPr>
        <w:t>壹</w:t>
      </w:r>
      <w:r>
        <w:rPr>
          <w:rFonts w:hint="eastAsia" w:hAnsi="宋体"/>
          <w:color w:val="auto"/>
          <w:sz w:val="21"/>
          <w:highlight w:val="none"/>
        </w:rPr>
        <w:t>份，当正本与副本的内容不一致时，以正本为准。</w:t>
      </w:r>
    </w:p>
    <w:p>
      <w:pPr>
        <w:pStyle w:val="14"/>
        <w:autoSpaceDE/>
        <w:autoSpaceDN/>
        <w:spacing w:line="360" w:lineRule="auto"/>
        <w:ind w:left="440" w:firstLine="420" w:firstLineChars="200"/>
        <w:rPr>
          <w:rFonts w:hAnsi="宋体"/>
          <w:color w:val="auto"/>
          <w:sz w:val="21"/>
          <w:highlight w:val="none"/>
        </w:rPr>
      </w:pPr>
      <w:r>
        <w:rPr>
          <w:rFonts w:hint="eastAsia" w:hAnsi="宋体"/>
          <w:color w:val="auto"/>
          <w:sz w:val="21"/>
          <w:highlight w:val="none"/>
          <w:lang w:val="en-US"/>
        </w:rPr>
        <w:t>3、</w:t>
      </w:r>
      <w:r>
        <w:rPr>
          <w:rFonts w:hint="eastAsia" w:hAnsi="宋体"/>
          <w:color w:val="auto"/>
          <w:sz w:val="21"/>
          <w:highlight w:val="none"/>
        </w:rPr>
        <w:t>合同未尽事宜，</w:t>
      </w:r>
      <w:r>
        <w:rPr>
          <w:rFonts w:hint="eastAsia" w:hAnsi="宋体"/>
          <w:color w:val="auto"/>
          <w:sz w:val="21"/>
          <w:highlight w:val="none"/>
          <w:lang w:val="en-US"/>
        </w:rPr>
        <w:t>经</w:t>
      </w:r>
      <w:r>
        <w:rPr>
          <w:rFonts w:hint="eastAsia" w:hAnsi="宋体"/>
          <w:color w:val="auto"/>
          <w:sz w:val="21"/>
          <w:highlight w:val="none"/>
        </w:rPr>
        <w:t>双方另行签订补充协议，补充协议是合同的组成部分。</w:t>
      </w:r>
    </w:p>
    <w:p>
      <w:pPr>
        <w:pStyle w:val="14"/>
        <w:autoSpaceDE/>
        <w:autoSpaceDN/>
        <w:spacing w:line="360" w:lineRule="auto"/>
        <w:ind w:left="440" w:firstLine="420" w:firstLineChars="200"/>
        <w:rPr>
          <w:rFonts w:hAnsi="宋体"/>
          <w:color w:val="auto"/>
          <w:sz w:val="21"/>
          <w:highlight w:val="none"/>
        </w:rPr>
      </w:pPr>
      <w:r>
        <w:rPr>
          <w:rFonts w:hint="eastAsia" w:hAnsi="宋体"/>
          <w:color w:val="auto"/>
          <w:sz w:val="21"/>
          <w:highlight w:val="none"/>
          <w:lang w:val="en-US"/>
        </w:rPr>
        <w:t>4、</w:t>
      </w:r>
      <w:r>
        <w:rPr>
          <w:rFonts w:hint="eastAsia" w:hAnsi="宋体"/>
          <w:color w:val="auto"/>
          <w:sz w:val="21"/>
          <w:highlight w:val="none"/>
        </w:rPr>
        <w:t>合同履行过程中如发生争议的，双方友好协商解决；如协商不能达成一致的，双方均可提交甲方所在地人民法院解决。</w:t>
      </w:r>
    </w:p>
    <w:p>
      <w:pPr>
        <w:widowControl/>
        <w:autoSpaceDE/>
        <w:autoSpaceDN/>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12.</w:t>
      </w:r>
      <w:r>
        <w:rPr>
          <w:rFonts w:hint="eastAsia" w:ascii="仿宋" w:hAnsi="仿宋" w:eastAsia="仿宋" w:cs="仿宋"/>
          <w:b/>
          <w:color w:val="auto"/>
          <w:sz w:val="24"/>
          <w:szCs w:val="24"/>
          <w:highlight w:val="none"/>
        </w:rPr>
        <w:t>附件</w:t>
      </w:r>
    </w:p>
    <w:p>
      <w:pPr>
        <w:widowControl/>
        <w:tabs>
          <w:tab w:val="left" w:pos="801"/>
        </w:tabs>
        <w:autoSpaceDE/>
        <w:autoSpaceDN/>
        <w:spacing w:line="360" w:lineRule="auto"/>
        <w:ind w:firstLine="480"/>
        <w:rPr>
          <w:bCs/>
          <w:color w:val="auto"/>
          <w:sz w:val="21"/>
          <w:szCs w:val="21"/>
          <w:highlight w:val="none"/>
          <w:lang w:val="en-US"/>
        </w:rPr>
      </w:pPr>
      <w:r>
        <w:rPr>
          <w:rFonts w:hint="eastAsia"/>
          <w:bCs/>
          <w:color w:val="auto"/>
          <w:sz w:val="21"/>
          <w:szCs w:val="21"/>
          <w:highlight w:val="none"/>
          <w:lang w:val="en-US"/>
        </w:rPr>
        <w:t>1、《物业服务岗位设置表》；</w:t>
      </w:r>
    </w:p>
    <w:p>
      <w:pPr>
        <w:widowControl/>
        <w:tabs>
          <w:tab w:val="left" w:pos="801"/>
        </w:tabs>
        <w:autoSpaceDE/>
        <w:autoSpaceDN/>
        <w:spacing w:line="360" w:lineRule="auto"/>
        <w:ind w:firstLine="480"/>
        <w:rPr>
          <w:bCs/>
          <w:color w:val="auto"/>
          <w:sz w:val="21"/>
          <w:szCs w:val="21"/>
          <w:highlight w:val="none"/>
          <w:lang w:val="en-US"/>
        </w:rPr>
      </w:pPr>
      <w:r>
        <w:rPr>
          <w:rFonts w:hint="eastAsia"/>
          <w:bCs/>
          <w:color w:val="auto"/>
          <w:sz w:val="21"/>
          <w:szCs w:val="21"/>
          <w:highlight w:val="none"/>
          <w:lang w:val="en-US"/>
        </w:rPr>
        <w:t>2、《物业服务月费用表》；</w:t>
      </w:r>
    </w:p>
    <w:p>
      <w:pPr>
        <w:widowControl/>
        <w:tabs>
          <w:tab w:val="center" w:pos="4932"/>
        </w:tabs>
        <w:autoSpaceDE/>
        <w:autoSpaceDN/>
        <w:spacing w:line="360" w:lineRule="auto"/>
        <w:ind w:firstLine="420" w:firstLineChars="200"/>
        <w:rPr>
          <w:color w:val="auto"/>
          <w:sz w:val="21"/>
          <w:szCs w:val="21"/>
          <w:highlight w:val="none"/>
        </w:rPr>
      </w:pPr>
      <w:r>
        <w:rPr>
          <w:rFonts w:hint="eastAsia"/>
          <w:bCs/>
          <w:color w:val="auto"/>
          <w:sz w:val="21"/>
          <w:szCs w:val="21"/>
          <w:highlight w:val="none"/>
          <w:lang w:val="en-US"/>
        </w:rPr>
        <w:t>3、</w:t>
      </w:r>
      <w:r>
        <w:rPr>
          <w:rFonts w:hint="eastAsia" w:cs="Times New Roman"/>
          <w:color w:val="auto"/>
          <w:szCs w:val="21"/>
          <w:highlight w:val="none"/>
          <w:lang w:val="en-US"/>
        </w:rPr>
        <w:t>《月度服务质量考评标准表》</w:t>
      </w:r>
      <w:r>
        <w:rPr>
          <w:rFonts w:hint="eastAsia"/>
          <w:color w:val="auto"/>
          <w:sz w:val="21"/>
          <w:szCs w:val="21"/>
          <w:highlight w:val="none"/>
        </w:rPr>
        <w:t>。</w:t>
      </w:r>
    </w:p>
    <w:p>
      <w:pPr>
        <w:pStyle w:val="2"/>
        <w:rPr>
          <w:color w:val="auto"/>
          <w:highlight w:val="none"/>
        </w:rPr>
      </w:pPr>
    </w:p>
    <w:p>
      <w:pPr>
        <w:widowControl/>
        <w:tabs>
          <w:tab w:val="center" w:pos="4932"/>
        </w:tabs>
        <w:autoSpaceDE/>
        <w:autoSpaceDN/>
        <w:spacing w:line="360" w:lineRule="auto"/>
        <w:rPr>
          <w:bCs/>
          <w:color w:val="auto"/>
          <w:sz w:val="21"/>
          <w:szCs w:val="21"/>
          <w:highlight w:val="none"/>
        </w:rPr>
      </w:pPr>
      <w:r>
        <w:rPr>
          <w:rFonts w:hint="eastAsia"/>
          <w:color w:val="auto"/>
          <w:sz w:val="21"/>
          <w:szCs w:val="21"/>
          <w:highlight w:val="none"/>
        </w:rPr>
        <w:t>发包人：</w:t>
      </w:r>
      <w:r>
        <w:rPr>
          <w:rFonts w:hint="eastAsia"/>
          <w:bCs/>
          <w:color w:val="auto"/>
          <w:sz w:val="21"/>
          <w:szCs w:val="21"/>
          <w:highlight w:val="none"/>
        </w:rPr>
        <w:t>四川都金山地轨道交通            承包人：</w:t>
      </w:r>
      <w:r>
        <w:rPr>
          <w:rFonts w:hint="eastAsia"/>
          <w:bCs/>
          <w:color w:val="auto"/>
          <w:sz w:val="21"/>
          <w:szCs w:val="21"/>
          <w:highlight w:val="none"/>
          <w:lang w:val="en-US"/>
        </w:rPr>
        <w:t xml:space="preserve"> </w:t>
      </w:r>
      <w:r>
        <w:rPr>
          <w:rFonts w:hint="eastAsia"/>
          <w:bCs/>
          <w:color w:val="auto"/>
          <w:sz w:val="21"/>
          <w:szCs w:val="21"/>
          <w:highlight w:val="none"/>
          <w:u w:val="single"/>
          <w:lang w:val="en-US"/>
        </w:rPr>
        <w:t xml:space="preserve">            </w:t>
      </w:r>
      <w:r>
        <w:rPr>
          <w:rFonts w:hint="eastAsia"/>
          <w:color w:val="auto"/>
          <w:sz w:val="21"/>
          <w:szCs w:val="21"/>
          <w:highlight w:val="none"/>
        </w:rPr>
        <w:t xml:space="preserve">  </w:t>
      </w:r>
      <w:r>
        <w:rPr>
          <w:rFonts w:hint="eastAsia"/>
          <w:bCs/>
          <w:color w:val="auto"/>
          <w:sz w:val="21"/>
          <w:szCs w:val="21"/>
          <w:highlight w:val="none"/>
        </w:rPr>
        <w:t xml:space="preserve">   </w:t>
      </w:r>
    </w:p>
    <w:p>
      <w:pPr>
        <w:widowControl/>
        <w:autoSpaceDE/>
        <w:autoSpaceDN/>
        <w:spacing w:line="360" w:lineRule="auto"/>
        <w:ind w:firstLine="630" w:firstLineChars="300"/>
        <w:rPr>
          <w:bCs/>
          <w:color w:val="auto"/>
          <w:sz w:val="21"/>
          <w:szCs w:val="21"/>
          <w:highlight w:val="none"/>
        </w:rPr>
      </w:pPr>
      <w:r>
        <w:rPr>
          <w:rFonts w:hint="eastAsia"/>
          <w:bCs/>
          <w:color w:val="auto"/>
          <w:sz w:val="21"/>
          <w:szCs w:val="21"/>
          <w:highlight w:val="none"/>
        </w:rPr>
        <w:t xml:space="preserve">有限责任公司                   </w:t>
      </w:r>
      <w:r>
        <w:rPr>
          <w:rFonts w:hint="eastAsia"/>
          <w:bCs/>
          <w:color w:val="auto"/>
          <w:sz w:val="21"/>
          <w:szCs w:val="21"/>
          <w:highlight w:val="none"/>
          <w:lang w:val="en-US"/>
        </w:rPr>
        <w:t xml:space="preserve"> </w:t>
      </w:r>
      <w:r>
        <w:rPr>
          <w:rFonts w:hint="eastAsia"/>
          <w:color w:val="auto"/>
          <w:sz w:val="21"/>
          <w:szCs w:val="21"/>
          <w:highlight w:val="none"/>
        </w:rPr>
        <w:t xml:space="preserve">                  </w:t>
      </w:r>
    </w:p>
    <w:p>
      <w:pPr>
        <w:widowControl/>
        <w:autoSpaceDE/>
        <w:autoSpaceDN/>
        <w:spacing w:line="360" w:lineRule="auto"/>
        <w:rPr>
          <w:color w:val="auto"/>
          <w:sz w:val="21"/>
          <w:szCs w:val="21"/>
          <w:highlight w:val="none"/>
        </w:rPr>
      </w:pPr>
      <w:r>
        <w:rPr>
          <w:rFonts w:hint="eastAsia"/>
          <w:color w:val="auto"/>
          <w:sz w:val="21"/>
          <w:szCs w:val="21"/>
          <w:highlight w:val="none"/>
        </w:rPr>
        <w:t>法定代表人/受托人：</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lang w:val="en-US"/>
        </w:rPr>
        <w:t xml:space="preserve"> </w:t>
      </w:r>
      <w:r>
        <w:rPr>
          <w:rFonts w:hint="eastAsia"/>
          <w:color w:val="auto"/>
          <w:sz w:val="21"/>
          <w:szCs w:val="21"/>
          <w:highlight w:val="none"/>
        </w:rPr>
        <w:t xml:space="preserve"> 法定代表人/受托人： </w:t>
      </w:r>
    </w:p>
    <w:p>
      <w:pPr>
        <w:pStyle w:val="14"/>
        <w:spacing w:line="520" w:lineRule="exact"/>
        <w:ind w:left="440"/>
        <w:rPr>
          <w:rFonts w:hAnsi="宋体"/>
          <w:color w:val="auto"/>
          <w:sz w:val="21"/>
          <w:highlight w:val="none"/>
          <w:u w:val="single"/>
          <w:lang w:val="en-US"/>
        </w:rPr>
      </w:pPr>
      <w:r>
        <w:rPr>
          <w:rFonts w:hint="eastAsia" w:hAnsi="宋体"/>
          <w:bCs/>
          <w:color w:val="auto"/>
          <w:sz w:val="21"/>
          <w:highlight w:val="none"/>
        </w:rPr>
        <w:t xml:space="preserve">地址： </w:t>
      </w:r>
      <w:r>
        <w:rPr>
          <w:rFonts w:hint="eastAsia" w:hAnsi="宋体"/>
          <w:color w:val="auto"/>
          <w:sz w:val="21"/>
          <w:highlight w:val="none"/>
          <w:lang w:val="en-US"/>
        </w:rPr>
        <w:t xml:space="preserve">                                  </w:t>
      </w:r>
      <w:r>
        <w:rPr>
          <w:rFonts w:hint="eastAsia" w:hAnsi="宋体"/>
          <w:color w:val="auto"/>
          <w:sz w:val="21"/>
          <w:highlight w:val="none"/>
        </w:rPr>
        <w:t>地址：</w:t>
      </w:r>
      <w:r>
        <w:rPr>
          <w:rFonts w:hint="eastAsia" w:hAnsi="宋体"/>
          <w:color w:val="auto"/>
          <w:sz w:val="21"/>
          <w:highlight w:val="none"/>
          <w:u w:val="single"/>
          <w:lang w:val="en-US"/>
        </w:rPr>
        <w:t xml:space="preserve">              </w:t>
      </w:r>
    </w:p>
    <w:p>
      <w:pPr>
        <w:widowControl/>
        <w:autoSpaceDE/>
        <w:autoSpaceDN/>
        <w:spacing w:line="360" w:lineRule="auto"/>
        <w:rPr>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r>
        <w:rPr>
          <w:rFonts w:hint="eastAsia"/>
          <w:color w:val="auto"/>
          <w:sz w:val="21"/>
          <w:szCs w:val="21"/>
          <w:highlight w:val="none"/>
        </w:rPr>
        <w:t xml:space="preserve">          </w:t>
      </w:r>
    </w:p>
    <w:p>
      <w:pPr>
        <w:pStyle w:val="14"/>
        <w:spacing w:line="520" w:lineRule="exact"/>
        <w:ind w:left="440"/>
        <w:rPr>
          <w:rFonts w:hAnsi="宋体"/>
          <w:color w:val="auto"/>
          <w:sz w:val="21"/>
          <w:highlight w:val="none"/>
          <w:lang w:val="en-US"/>
        </w:rPr>
      </w:pPr>
      <w:r>
        <w:rPr>
          <w:rFonts w:hint="eastAsia" w:hAnsi="宋体"/>
          <w:color w:val="auto"/>
          <w:sz w:val="21"/>
          <w:highlight w:val="none"/>
        </w:rPr>
        <w:t>电话：</w:t>
      </w:r>
      <w:r>
        <w:rPr>
          <w:rFonts w:hint="eastAsia" w:hAnsi="宋体"/>
          <w:color w:val="auto"/>
          <w:sz w:val="21"/>
          <w:highlight w:val="none"/>
          <w:u w:val="single"/>
          <w:lang w:val="en-US"/>
        </w:rPr>
        <w:t xml:space="preserve">             </w:t>
      </w:r>
      <w:r>
        <w:rPr>
          <w:rFonts w:hint="eastAsia" w:hAnsi="宋体"/>
          <w:color w:val="auto"/>
          <w:sz w:val="21"/>
          <w:highlight w:val="none"/>
        </w:rPr>
        <w:t xml:space="preserve">               电话：</w:t>
      </w:r>
      <w:r>
        <w:rPr>
          <w:rFonts w:hint="eastAsia" w:hAnsi="宋体"/>
          <w:color w:val="auto"/>
          <w:sz w:val="21"/>
          <w:highlight w:val="none"/>
          <w:u w:val="single"/>
          <w:lang w:val="en-US"/>
        </w:rPr>
        <w:t xml:space="preserve">                </w:t>
      </w:r>
    </w:p>
    <w:p>
      <w:pPr>
        <w:widowControl/>
        <w:tabs>
          <w:tab w:val="right" w:pos="9865"/>
        </w:tabs>
        <w:autoSpaceDE/>
        <w:autoSpaceDN/>
        <w:spacing w:line="360" w:lineRule="auto"/>
        <w:rPr>
          <w:color w:val="auto"/>
          <w:sz w:val="21"/>
          <w:szCs w:val="21"/>
          <w:highlight w:val="none"/>
          <w:lang w:val="en-US"/>
        </w:rPr>
      </w:pPr>
      <w:r>
        <w:rPr>
          <w:rFonts w:hint="eastAsia"/>
          <w:color w:val="auto"/>
          <w:sz w:val="21"/>
          <w:szCs w:val="21"/>
          <w:highlight w:val="none"/>
        </w:rPr>
        <w:t>日期</w:t>
      </w:r>
      <w:r>
        <w:rPr>
          <w:rFonts w:hint="eastAsia"/>
          <w:color w:val="auto"/>
          <w:sz w:val="21"/>
          <w:szCs w:val="21"/>
          <w:highlight w:val="none"/>
          <w:lang w:val="en-US"/>
        </w:rPr>
        <w:t xml:space="preserve">：   </w:t>
      </w:r>
      <w:r>
        <w:rPr>
          <w:rFonts w:hint="eastAsia"/>
          <w:color w:val="auto"/>
          <w:sz w:val="21"/>
          <w:szCs w:val="21"/>
          <w:highlight w:val="none"/>
        </w:rPr>
        <w:t>年</w:t>
      </w:r>
      <w:r>
        <w:rPr>
          <w:rFonts w:hint="eastAsia"/>
          <w:color w:val="auto"/>
          <w:sz w:val="21"/>
          <w:szCs w:val="21"/>
          <w:highlight w:val="none"/>
          <w:lang w:val="en-US"/>
        </w:rPr>
        <w:t xml:space="preserve">   </w:t>
      </w:r>
      <w:r>
        <w:rPr>
          <w:rFonts w:hint="eastAsia"/>
          <w:color w:val="auto"/>
          <w:sz w:val="21"/>
          <w:szCs w:val="21"/>
          <w:highlight w:val="none"/>
        </w:rPr>
        <w:t>月</w:t>
      </w:r>
      <w:r>
        <w:rPr>
          <w:rFonts w:hint="eastAsia"/>
          <w:color w:val="auto"/>
          <w:sz w:val="21"/>
          <w:szCs w:val="21"/>
          <w:highlight w:val="none"/>
          <w:lang w:val="en-US"/>
        </w:rPr>
        <w:t xml:space="preserve">    </w:t>
      </w:r>
      <w:r>
        <w:rPr>
          <w:rFonts w:hint="eastAsia"/>
          <w:color w:val="auto"/>
          <w:sz w:val="21"/>
          <w:szCs w:val="21"/>
          <w:highlight w:val="none"/>
        </w:rPr>
        <w:t>日</w:t>
      </w:r>
      <w:r>
        <w:rPr>
          <w:rFonts w:hint="eastAsia"/>
          <w:color w:val="auto"/>
          <w:sz w:val="21"/>
          <w:szCs w:val="21"/>
          <w:highlight w:val="none"/>
          <w:lang w:val="en-US"/>
        </w:rPr>
        <w:t xml:space="preserve">            </w:t>
      </w:r>
      <w:r>
        <w:rPr>
          <w:rFonts w:hint="eastAsia"/>
          <w:color w:val="auto"/>
          <w:sz w:val="21"/>
          <w:szCs w:val="21"/>
          <w:highlight w:val="none"/>
        </w:rPr>
        <w:t>日期</w:t>
      </w:r>
      <w:r>
        <w:rPr>
          <w:rFonts w:hint="eastAsia"/>
          <w:color w:val="auto"/>
          <w:sz w:val="21"/>
          <w:szCs w:val="21"/>
          <w:highlight w:val="none"/>
          <w:lang w:val="en-US"/>
        </w:rPr>
        <w:t>：</w:t>
      </w:r>
      <w:bookmarkEnd w:id="186"/>
      <w:r>
        <w:rPr>
          <w:rFonts w:hint="eastAsia"/>
          <w:color w:val="auto"/>
          <w:sz w:val="21"/>
          <w:szCs w:val="21"/>
          <w:highlight w:val="none"/>
          <w:lang w:val="en-US"/>
        </w:rPr>
        <w:t xml:space="preserve">   </w:t>
      </w:r>
      <w:r>
        <w:rPr>
          <w:rFonts w:hint="eastAsia"/>
          <w:color w:val="auto"/>
          <w:sz w:val="21"/>
          <w:szCs w:val="21"/>
          <w:highlight w:val="none"/>
        </w:rPr>
        <w:t>年</w:t>
      </w:r>
      <w:r>
        <w:rPr>
          <w:rFonts w:hint="eastAsia"/>
          <w:color w:val="auto"/>
          <w:sz w:val="21"/>
          <w:szCs w:val="21"/>
          <w:highlight w:val="none"/>
          <w:lang w:val="en-US"/>
        </w:rPr>
        <w:t xml:space="preserve">    </w:t>
      </w:r>
      <w:r>
        <w:rPr>
          <w:rFonts w:hint="eastAsia"/>
          <w:color w:val="auto"/>
          <w:sz w:val="21"/>
          <w:szCs w:val="21"/>
          <w:highlight w:val="none"/>
        </w:rPr>
        <w:t>月</w:t>
      </w:r>
      <w:r>
        <w:rPr>
          <w:rFonts w:hint="eastAsia"/>
          <w:color w:val="auto"/>
          <w:sz w:val="21"/>
          <w:szCs w:val="21"/>
          <w:highlight w:val="none"/>
          <w:lang w:val="en-US"/>
        </w:rPr>
        <w:t xml:space="preserve">    </w:t>
      </w:r>
      <w:r>
        <w:rPr>
          <w:rFonts w:hint="eastAsia"/>
          <w:color w:val="auto"/>
          <w:sz w:val="21"/>
          <w:szCs w:val="21"/>
          <w:highlight w:val="none"/>
        </w:rPr>
        <w:t>日</w:t>
      </w:r>
    </w:p>
    <w:p>
      <w:pPr>
        <w:pStyle w:val="23"/>
        <w:ind w:left="0" w:leftChars="0" w:firstLine="0" w:firstLineChars="0"/>
        <w:jc w:val="both"/>
        <w:rPr>
          <w:color w:val="auto"/>
          <w:highlight w:val="none"/>
          <w:lang w:val="en-US"/>
        </w:rPr>
      </w:pPr>
    </w:p>
    <w:p>
      <w:pPr>
        <w:widowControl/>
        <w:autoSpaceDE/>
        <w:autoSpaceDN/>
        <w:rPr>
          <w:b/>
          <w:color w:val="auto"/>
          <w:sz w:val="24"/>
          <w:highlight w:val="none"/>
          <w:lang w:val="en-US"/>
        </w:rPr>
      </w:pPr>
      <w:r>
        <w:rPr>
          <w:b/>
          <w:color w:val="auto"/>
          <w:sz w:val="24"/>
          <w:highlight w:val="none"/>
          <w:lang w:val="en-US"/>
        </w:rPr>
        <w:br w:type="page"/>
      </w:r>
    </w:p>
    <w:p>
      <w:pPr>
        <w:spacing w:before="120" w:beforeLines="50" w:after="120" w:afterLines="50"/>
        <w:rPr>
          <w:b/>
          <w:color w:val="auto"/>
          <w:sz w:val="24"/>
          <w:highlight w:val="none"/>
        </w:rPr>
      </w:pPr>
      <w:r>
        <w:rPr>
          <w:b/>
          <w:color w:val="auto"/>
          <w:sz w:val="24"/>
          <w:highlight w:val="none"/>
        </w:rPr>
        <w:t>附件</w:t>
      </w:r>
      <w:r>
        <w:rPr>
          <w:rFonts w:hint="eastAsia"/>
          <w:b/>
          <w:color w:val="auto"/>
          <w:sz w:val="24"/>
          <w:highlight w:val="none"/>
        </w:rPr>
        <w:t>1</w:t>
      </w:r>
      <w:r>
        <w:rPr>
          <w:b/>
          <w:color w:val="auto"/>
          <w:sz w:val="24"/>
          <w:highlight w:val="none"/>
        </w:rPr>
        <w:t>：合同协议书格式</w:t>
      </w:r>
    </w:p>
    <w:p>
      <w:pPr>
        <w:pStyle w:val="14"/>
        <w:spacing w:line="360" w:lineRule="auto"/>
        <w:ind w:left="440"/>
        <w:jc w:val="center"/>
        <w:rPr>
          <w:rFonts w:hAnsi="宋体"/>
          <w:b/>
          <w:color w:val="auto"/>
          <w:sz w:val="24"/>
          <w:szCs w:val="24"/>
          <w:highlight w:val="none"/>
        </w:rPr>
      </w:pPr>
      <w:r>
        <w:rPr>
          <w:rFonts w:hint="eastAsia" w:hAnsi="宋体"/>
          <w:b/>
          <w:color w:val="auto"/>
          <w:sz w:val="24"/>
          <w:szCs w:val="24"/>
          <w:highlight w:val="none"/>
        </w:rPr>
        <w:t>合同协议书</w:t>
      </w:r>
    </w:p>
    <w:p>
      <w:pPr>
        <w:pStyle w:val="14"/>
        <w:snapToGrid w:val="0"/>
        <w:spacing w:line="360" w:lineRule="auto"/>
        <w:ind w:left="440"/>
        <w:jc w:val="center"/>
        <w:rPr>
          <w:rFonts w:hAnsi="宋体"/>
          <w:color w:val="auto"/>
          <w:szCs w:val="24"/>
          <w:highlight w:val="none"/>
        </w:rPr>
      </w:pPr>
      <w:r>
        <w:rPr>
          <w:rFonts w:hint="eastAsia" w:hAnsi="宋体"/>
          <w:color w:val="auto"/>
          <w:szCs w:val="24"/>
          <w:highlight w:val="none"/>
        </w:rPr>
        <w:t>（本格式仅供参考）</w:t>
      </w:r>
    </w:p>
    <w:p>
      <w:pPr>
        <w:pStyle w:val="14"/>
        <w:snapToGrid w:val="0"/>
        <w:spacing w:line="360" w:lineRule="auto"/>
        <w:ind w:left="440"/>
        <w:jc w:val="center"/>
        <w:rPr>
          <w:rFonts w:hAnsi="宋体"/>
          <w:color w:val="auto"/>
          <w:szCs w:val="24"/>
          <w:highlight w:val="none"/>
        </w:rPr>
      </w:pPr>
    </w:p>
    <w:p>
      <w:pPr>
        <w:pStyle w:val="14"/>
        <w:snapToGrid w:val="0"/>
        <w:spacing w:line="360" w:lineRule="auto"/>
        <w:ind w:left="440" w:firstLine="440" w:firstLineChars="200"/>
        <w:rPr>
          <w:rFonts w:hAnsi="宋体"/>
          <w:color w:val="auto"/>
          <w:szCs w:val="24"/>
          <w:highlight w:val="none"/>
        </w:rPr>
      </w:pPr>
      <w:r>
        <w:rPr>
          <w:rFonts w:hint="eastAsia" w:hAnsi="宋体"/>
          <w:color w:val="auto"/>
          <w:szCs w:val="24"/>
          <w:highlight w:val="none"/>
        </w:rPr>
        <w:t>本协议书由</w:t>
      </w:r>
      <w:r>
        <w:rPr>
          <w:rFonts w:hint="eastAsia" w:hAnsi="宋体"/>
          <w:color w:val="auto"/>
          <w:szCs w:val="24"/>
          <w:highlight w:val="none"/>
          <w:u w:val="single"/>
        </w:rPr>
        <w:t xml:space="preserve">   （发包人全称）        </w:t>
      </w:r>
      <w:r>
        <w:rPr>
          <w:rFonts w:hint="eastAsia" w:hAnsi="宋体"/>
          <w:color w:val="auto"/>
          <w:szCs w:val="24"/>
          <w:highlight w:val="none"/>
        </w:rPr>
        <w:t>(以下简称“发包人”)为甲方，与</w:t>
      </w:r>
      <w:r>
        <w:rPr>
          <w:rFonts w:hint="eastAsia" w:hAnsi="宋体"/>
          <w:color w:val="auto"/>
          <w:szCs w:val="24"/>
          <w:highlight w:val="none"/>
          <w:u w:val="single"/>
        </w:rPr>
        <w:t xml:space="preserve"> （承包人全称</w:t>
      </w:r>
      <w:r>
        <w:rPr>
          <w:rFonts w:hAnsi="宋体"/>
          <w:color w:val="auto"/>
          <w:szCs w:val="24"/>
          <w:highlight w:val="none"/>
          <w:u w:val="single"/>
        </w:rPr>
        <w:t>）</w:t>
      </w:r>
      <w:r>
        <w:rPr>
          <w:rFonts w:hint="eastAsia" w:hAnsi="宋体"/>
          <w:color w:val="auto"/>
          <w:szCs w:val="24"/>
          <w:highlight w:val="none"/>
          <w:u w:val="single"/>
        </w:rPr>
        <w:t xml:space="preserve"> </w:t>
      </w:r>
      <w:r>
        <w:rPr>
          <w:rFonts w:hint="eastAsia" w:hAnsi="宋体"/>
          <w:color w:val="auto"/>
          <w:szCs w:val="24"/>
          <w:highlight w:val="none"/>
        </w:rPr>
        <w:t>(以下简称“承包人”)为乙方，双方共同订立。</w:t>
      </w:r>
    </w:p>
    <w:p>
      <w:pPr>
        <w:pStyle w:val="14"/>
        <w:snapToGrid w:val="0"/>
        <w:spacing w:line="360" w:lineRule="auto"/>
        <w:ind w:left="440" w:firstLine="440" w:firstLineChars="200"/>
        <w:rPr>
          <w:rFonts w:hAnsi="宋体"/>
          <w:color w:val="auto"/>
          <w:szCs w:val="24"/>
          <w:highlight w:val="none"/>
        </w:rPr>
      </w:pPr>
      <w:r>
        <w:rPr>
          <w:rFonts w:hAnsi="宋体"/>
          <w:color w:val="auto"/>
          <w:highlight w:val="none"/>
        </w:rPr>
        <w:t>鉴于发包人已委托承包人为</w:t>
      </w:r>
      <w:r>
        <w:rPr>
          <w:rFonts w:hAnsi="宋体"/>
          <w:color w:val="auto"/>
          <w:highlight w:val="none"/>
          <w:u w:val="single"/>
        </w:rPr>
        <w:t>（项目名称）</w:t>
      </w:r>
      <w:r>
        <w:rPr>
          <w:rFonts w:hint="eastAsia" w:hAnsi="宋体"/>
          <w:color w:val="auto"/>
          <w:highlight w:val="none"/>
        </w:rPr>
        <w:t>标</w:t>
      </w:r>
      <w:r>
        <w:rPr>
          <w:rFonts w:hAnsi="宋体"/>
          <w:color w:val="auto"/>
          <w:highlight w:val="none"/>
        </w:rPr>
        <w:t>段</w:t>
      </w:r>
      <w:r>
        <w:rPr>
          <w:rFonts w:hint="eastAsia" w:hAnsi="宋体"/>
          <w:color w:val="auto"/>
          <w:highlight w:val="none"/>
          <w:u w:val="single"/>
        </w:rPr>
        <w:t xml:space="preserve">   </w:t>
      </w:r>
      <w:r>
        <w:rPr>
          <w:rFonts w:hAnsi="宋体"/>
          <w:color w:val="auto"/>
          <w:highlight w:val="none"/>
        </w:rPr>
        <w:t>提供服务，并已接受了承包人就此提出的投标文件，为明确各方在合同期间的义务、责任、权力和利益，就以下事项达成协议：</w:t>
      </w:r>
    </w:p>
    <w:p>
      <w:pPr>
        <w:pStyle w:val="14"/>
        <w:snapToGrid w:val="0"/>
        <w:spacing w:line="360" w:lineRule="auto"/>
        <w:ind w:left="440" w:firstLine="440" w:firstLineChars="200"/>
        <w:rPr>
          <w:rFonts w:hAnsi="宋体"/>
          <w:color w:val="auto"/>
          <w:highlight w:val="none"/>
        </w:rPr>
      </w:pPr>
      <w:r>
        <w:rPr>
          <w:rFonts w:hint="eastAsia" w:hAnsi="宋体"/>
          <w:color w:val="auto"/>
          <w:highlight w:val="none"/>
        </w:rPr>
        <w:t>一、物业基本情况</w:t>
      </w:r>
    </w:p>
    <w:p>
      <w:pPr>
        <w:pStyle w:val="14"/>
        <w:snapToGrid w:val="0"/>
        <w:spacing w:line="360" w:lineRule="auto"/>
        <w:ind w:firstLine="880" w:firstLineChars="400"/>
        <w:rPr>
          <w:rFonts w:hAnsi="宋体"/>
          <w:color w:val="auto"/>
          <w:highlight w:val="none"/>
        </w:rPr>
      </w:pPr>
      <w:r>
        <w:rPr>
          <w:rFonts w:hint="eastAsia" w:hAnsi="宋体"/>
          <w:color w:val="auto"/>
          <w:highlight w:val="none"/>
        </w:rPr>
        <w:t>（1）项目名称：</w:t>
      </w:r>
      <w:r>
        <w:rPr>
          <w:rFonts w:hint="eastAsia" w:hAnsi="宋体"/>
          <w:color w:val="auto"/>
          <w:highlight w:val="none"/>
          <w:u w:val="single"/>
        </w:rPr>
        <w:t xml:space="preserve">                                        </w:t>
      </w:r>
      <w:r>
        <w:rPr>
          <w:rFonts w:hint="eastAsia" w:hAnsi="宋体"/>
          <w:color w:val="auto"/>
          <w:highlight w:val="none"/>
        </w:rPr>
        <w:t>；</w:t>
      </w:r>
    </w:p>
    <w:p>
      <w:pPr>
        <w:pStyle w:val="14"/>
        <w:snapToGrid w:val="0"/>
        <w:spacing w:line="360" w:lineRule="auto"/>
        <w:ind w:left="440" w:firstLine="440" w:firstLineChars="200"/>
        <w:rPr>
          <w:rFonts w:hAnsi="宋体"/>
          <w:color w:val="auto"/>
          <w:highlight w:val="none"/>
        </w:rPr>
      </w:pPr>
      <w:r>
        <w:rPr>
          <w:rFonts w:hint="eastAsia" w:hAnsi="宋体"/>
          <w:color w:val="auto"/>
          <w:highlight w:val="none"/>
        </w:rPr>
        <w:t>（2）服务位置：</w:t>
      </w:r>
      <w:r>
        <w:rPr>
          <w:rFonts w:hint="eastAsia" w:hAnsi="宋体"/>
          <w:color w:val="auto"/>
          <w:highlight w:val="none"/>
          <w:u w:val="single"/>
        </w:rPr>
        <w:t xml:space="preserve">                                        </w:t>
      </w:r>
      <w:r>
        <w:rPr>
          <w:rFonts w:hint="eastAsia" w:hAnsi="宋体"/>
          <w:color w:val="auto"/>
          <w:highlight w:val="none"/>
        </w:rPr>
        <w:t>；</w:t>
      </w:r>
    </w:p>
    <w:p>
      <w:pPr>
        <w:pStyle w:val="14"/>
        <w:snapToGrid w:val="0"/>
        <w:spacing w:line="360" w:lineRule="auto"/>
        <w:ind w:left="440" w:firstLine="440" w:firstLineChars="200"/>
        <w:rPr>
          <w:rFonts w:hAnsi="宋体"/>
          <w:color w:val="auto"/>
          <w:highlight w:val="none"/>
          <w:u w:val="single"/>
        </w:rPr>
      </w:pPr>
      <w:r>
        <w:rPr>
          <w:rFonts w:hint="eastAsia" w:hAnsi="宋体"/>
          <w:color w:val="auto"/>
          <w:highlight w:val="none"/>
        </w:rPr>
        <w:t>（3）服务期限：自</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日起至</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日，共</w:t>
      </w:r>
      <w:r>
        <w:rPr>
          <w:rFonts w:hint="eastAsia" w:hAnsi="宋体"/>
          <w:color w:val="auto"/>
          <w:highlight w:val="none"/>
          <w:u w:val="single"/>
        </w:rPr>
        <w:t xml:space="preserve"> </w:t>
      </w:r>
      <w:r>
        <w:rPr>
          <w:rFonts w:hint="eastAsia" w:hAnsi="宋体"/>
          <w:color w:val="auto"/>
          <w:highlight w:val="none"/>
          <w:u w:val="single"/>
          <w:lang w:val="en-US"/>
        </w:rPr>
        <w:t>叁</w:t>
      </w:r>
      <w:r>
        <w:rPr>
          <w:rFonts w:hint="eastAsia" w:hAnsi="宋体"/>
          <w:color w:val="auto"/>
          <w:highlight w:val="none"/>
          <w:u w:val="single"/>
        </w:rPr>
        <w:t xml:space="preserve"> </w:t>
      </w:r>
      <w:r>
        <w:rPr>
          <w:rFonts w:hint="eastAsia" w:hAnsi="宋体"/>
          <w:color w:val="auto"/>
          <w:highlight w:val="none"/>
        </w:rPr>
        <w:t>年。</w:t>
      </w:r>
    </w:p>
    <w:p>
      <w:pPr>
        <w:pStyle w:val="14"/>
        <w:snapToGrid w:val="0"/>
        <w:spacing w:line="360" w:lineRule="auto"/>
        <w:ind w:left="440" w:firstLine="440" w:firstLineChars="200"/>
        <w:rPr>
          <w:rFonts w:hAnsi="宋体"/>
          <w:color w:val="auto"/>
          <w:highlight w:val="none"/>
        </w:rPr>
      </w:pPr>
      <w:r>
        <w:rPr>
          <w:rFonts w:hint="eastAsia" w:hAnsi="宋体"/>
          <w:color w:val="auto"/>
          <w:highlight w:val="none"/>
        </w:rPr>
        <w:t>二、工作内容</w:t>
      </w:r>
      <w:r>
        <w:rPr>
          <w:rFonts w:hint="eastAsia" w:hAnsi="宋体"/>
          <w:color w:val="auto"/>
          <w:highlight w:val="none"/>
          <w:u w:val="single"/>
        </w:rPr>
        <w:t xml:space="preserve">                                            </w:t>
      </w:r>
      <w:r>
        <w:rPr>
          <w:rFonts w:hint="eastAsia" w:hAnsi="宋体"/>
          <w:color w:val="auto"/>
          <w:highlight w:val="none"/>
        </w:rPr>
        <w:t xml:space="preserve"> 。</w:t>
      </w:r>
    </w:p>
    <w:p>
      <w:pPr>
        <w:pStyle w:val="14"/>
        <w:tabs>
          <w:tab w:val="left" w:pos="2775"/>
        </w:tabs>
        <w:snapToGrid w:val="0"/>
        <w:spacing w:line="360" w:lineRule="auto"/>
        <w:ind w:left="440" w:firstLine="440" w:firstLineChars="200"/>
        <w:rPr>
          <w:rFonts w:hAnsi="宋体"/>
          <w:color w:val="auto"/>
          <w:highlight w:val="none"/>
        </w:rPr>
      </w:pPr>
      <w:r>
        <w:rPr>
          <w:rFonts w:hint="eastAsia" w:hAnsi="宋体"/>
          <w:color w:val="auto"/>
          <w:highlight w:val="none"/>
        </w:rPr>
        <w:t>三、服务费用</w:t>
      </w:r>
    </w:p>
    <w:p>
      <w:pPr>
        <w:pStyle w:val="14"/>
        <w:snapToGrid w:val="0"/>
        <w:spacing w:line="360" w:lineRule="auto"/>
        <w:ind w:left="440" w:firstLine="770" w:firstLineChars="350"/>
        <w:rPr>
          <w:rFonts w:hAnsi="宋体"/>
          <w:color w:val="auto"/>
          <w:highlight w:val="none"/>
        </w:rPr>
      </w:pPr>
      <w:r>
        <w:rPr>
          <w:rFonts w:hint="eastAsia" w:hAnsi="宋体"/>
          <w:color w:val="auto"/>
          <w:highlight w:val="none"/>
        </w:rPr>
        <w:t>服务费用总价：（大写）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w:t>
      </w:r>
    </w:p>
    <w:p>
      <w:pPr>
        <w:pStyle w:val="14"/>
        <w:snapToGrid w:val="0"/>
        <w:spacing w:line="360" w:lineRule="auto"/>
        <w:ind w:left="440" w:firstLine="440" w:firstLineChars="200"/>
        <w:rPr>
          <w:rFonts w:hAnsi="宋体"/>
          <w:color w:val="auto"/>
          <w:szCs w:val="24"/>
          <w:highlight w:val="none"/>
        </w:rPr>
      </w:pPr>
      <w:r>
        <w:rPr>
          <w:rFonts w:hint="eastAsia" w:hAnsi="宋体"/>
          <w:color w:val="auto"/>
          <w:highlight w:val="none"/>
        </w:rPr>
        <w:t>四、本协议书中的名词定义与合同主要条款中约定的定义相同。</w:t>
      </w:r>
    </w:p>
    <w:p>
      <w:pPr>
        <w:pStyle w:val="14"/>
        <w:snapToGrid w:val="0"/>
        <w:spacing w:line="360" w:lineRule="auto"/>
        <w:ind w:left="440" w:firstLine="440" w:firstLineChars="200"/>
        <w:rPr>
          <w:rFonts w:hAnsi="宋体"/>
          <w:color w:val="auto"/>
          <w:szCs w:val="24"/>
          <w:highlight w:val="none"/>
        </w:rPr>
      </w:pPr>
      <w:r>
        <w:rPr>
          <w:rFonts w:hint="eastAsia" w:hAnsi="宋体"/>
          <w:color w:val="auto"/>
          <w:szCs w:val="24"/>
          <w:highlight w:val="none"/>
        </w:rPr>
        <w:t>五、下列文件是本协议书的组成部分，应作为协议书的有效内容予以遵守和执行。</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（1）合同协议书及附件；</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（2）中标通知书；</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（3）投标函；</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（4）专用合同条款；</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（5）物业管理服务要求；</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（6）构成本合同组成部分的其他文件。</w:t>
      </w:r>
    </w:p>
    <w:p>
      <w:pPr>
        <w:pStyle w:val="14"/>
        <w:snapToGrid w:val="0"/>
        <w:spacing w:line="360" w:lineRule="auto"/>
        <w:ind w:left="251" w:leftChars="114" w:firstLine="220" w:firstLineChars="100"/>
        <w:rPr>
          <w:rFonts w:hAnsi="宋体"/>
          <w:color w:val="auto"/>
          <w:highlight w:val="none"/>
        </w:rPr>
      </w:pPr>
      <w:r>
        <w:rPr>
          <w:rFonts w:hint="eastAsia" w:hAnsi="宋体"/>
          <w:color w:val="auto"/>
          <w:highlight w:val="none"/>
        </w:rPr>
        <w:t>上述文件相互补充。如果上述文件之间出现矛盾，应按时间顺序以最后编写或双方最后确认的文件为准。</w:t>
      </w:r>
    </w:p>
    <w:p>
      <w:pPr>
        <w:pStyle w:val="14"/>
        <w:snapToGrid w:val="0"/>
        <w:spacing w:line="360" w:lineRule="auto"/>
        <w:ind w:left="440" w:firstLine="440" w:firstLineChars="200"/>
        <w:rPr>
          <w:rFonts w:hAnsi="宋体"/>
          <w:color w:val="auto"/>
          <w:szCs w:val="24"/>
          <w:highlight w:val="none"/>
        </w:rPr>
      </w:pPr>
      <w:r>
        <w:rPr>
          <w:rFonts w:hint="eastAsia" w:hAnsi="宋体"/>
          <w:color w:val="auto"/>
          <w:szCs w:val="24"/>
          <w:highlight w:val="none"/>
        </w:rPr>
        <w:t>六、发包人按照合同相关约定，审核并支付合同价款。</w:t>
      </w:r>
    </w:p>
    <w:p>
      <w:pPr>
        <w:pStyle w:val="14"/>
        <w:snapToGrid w:val="0"/>
        <w:spacing w:line="360" w:lineRule="auto"/>
        <w:ind w:left="440" w:firstLine="440" w:firstLineChars="200"/>
        <w:rPr>
          <w:rFonts w:hAnsi="宋体"/>
          <w:color w:val="auto"/>
          <w:szCs w:val="24"/>
          <w:highlight w:val="none"/>
        </w:rPr>
      </w:pPr>
      <w:r>
        <w:rPr>
          <w:rFonts w:hint="eastAsia" w:hAnsi="宋体"/>
          <w:color w:val="auto"/>
          <w:szCs w:val="24"/>
          <w:highlight w:val="none"/>
        </w:rPr>
        <w:t>七、承包人基于对发包人的上述保证，在此承诺按照本合同的规定履行相关服务。</w:t>
      </w:r>
    </w:p>
    <w:p>
      <w:pPr>
        <w:pStyle w:val="14"/>
        <w:snapToGrid w:val="0"/>
        <w:spacing w:line="360" w:lineRule="auto"/>
        <w:ind w:left="-2" w:leftChars="-1" w:firstLine="880" w:firstLineChars="400"/>
        <w:rPr>
          <w:rFonts w:hAnsi="宋体"/>
          <w:color w:val="auto"/>
          <w:szCs w:val="24"/>
          <w:highlight w:val="none"/>
        </w:rPr>
      </w:pPr>
      <w:r>
        <w:rPr>
          <w:rFonts w:hint="eastAsia" w:hAnsi="宋体"/>
          <w:color w:val="auto"/>
          <w:szCs w:val="24"/>
          <w:highlight w:val="none"/>
        </w:rPr>
        <w:t>八、本协议书经双方签字盖章后，自</w:t>
      </w:r>
      <w:r>
        <w:rPr>
          <w:rFonts w:hint="eastAsia" w:hAnsi="宋体"/>
          <w:color w:val="auto"/>
          <w:szCs w:val="24"/>
          <w:highlight w:val="none"/>
          <w:u w:val="single"/>
        </w:rPr>
        <w:t xml:space="preserve">     </w:t>
      </w:r>
      <w:r>
        <w:rPr>
          <w:rFonts w:hint="eastAsia" w:hAnsi="宋体"/>
          <w:color w:val="auto"/>
          <w:szCs w:val="24"/>
          <w:highlight w:val="none"/>
        </w:rPr>
        <w:t>年</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rPr>
        <w:t xml:space="preserve">   </w:t>
      </w:r>
      <w:r>
        <w:rPr>
          <w:rFonts w:hint="eastAsia" w:hAnsi="宋体"/>
          <w:color w:val="auto"/>
          <w:szCs w:val="24"/>
          <w:highlight w:val="none"/>
        </w:rPr>
        <w:t>日生效，服务期为一年。</w:t>
      </w:r>
    </w:p>
    <w:p>
      <w:pPr>
        <w:pStyle w:val="14"/>
        <w:snapToGrid w:val="0"/>
        <w:spacing w:line="360" w:lineRule="auto"/>
        <w:ind w:left="440" w:firstLine="440" w:firstLineChars="200"/>
        <w:rPr>
          <w:rFonts w:hAnsi="宋体"/>
          <w:color w:val="auto"/>
          <w:highlight w:val="none"/>
        </w:rPr>
      </w:pPr>
      <w:r>
        <w:rPr>
          <w:rFonts w:hint="eastAsia" w:hAnsi="宋体"/>
          <w:color w:val="auto"/>
          <w:szCs w:val="24"/>
          <w:highlight w:val="none"/>
        </w:rPr>
        <w:t>九、</w:t>
      </w:r>
      <w:r>
        <w:rPr>
          <w:rFonts w:hint="eastAsia" w:hAnsi="宋体"/>
          <w:color w:val="auto"/>
          <w:highlight w:val="none"/>
        </w:rPr>
        <w:t>本合同协议书正本一式</w:t>
      </w:r>
      <w:r>
        <w:rPr>
          <w:rFonts w:hint="eastAsia" w:hAnsi="宋体"/>
          <w:color w:val="auto"/>
          <w:highlight w:val="none"/>
          <w:u w:val="single"/>
        </w:rPr>
        <w:t xml:space="preserve">    </w:t>
      </w:r>
      <w:r>
        <w:rPr>
          <w:rFonts w:hint="eastAsia" w:hAnsi="宋体"/>
          <w:color w:val="auto"/>
          <w:highlight w:val="none"/>
        </w:rPr>
        <w:t>份，双方各执</w:t>
      </w:r>
      <w:r>
        <w:rPr>
          <w:rFonts w:hint="eastAsia" w:hAnsi="宋体"/>
          <w:color w:val="auto"/>
          <w:highlight w:val="none"/>
          <w:u w:val="single"/>
        </w:rPr>
        <w:t xml:space="preserve">    </w:t>
      </w:r>
      <w:r>
        <w:rPr>
          <w:rFonts w:hint="eastAsia" w:hAnsi="宋体"/>
          <w:color w:val="auto"/>
          <w:highlight w:val="none"/>
        </w:rPr>
        <w:t>份，具有同等法律效力。协议书副本</w:t>
      </w:r>
      <w:r>
        <w:rPr>
          <w:rFonts w:hint="eastAsia" w:hAnsi="宋体"/>
          <w:color w:val="auto"/>
          <w:highlight w:val="none"/>
          <w:u w:val="single"/>
        </w:rPr>
        <w:t xml:space="preserve">    </w:t>
      </w:r>
      <w:r>
        <w:rPr>
          <w:rFonts w:hint="eastAsia" w:hAnsi="宋体"/>
          <w:color w:val="auto"/>
          <w:highlight w:val="none"/>
        </w:rPr>
        <w:t>份，双方各执</w:t>
      </w:r>
      <w:r>
        <w:rPr>
          <w:rFonts w:hint="eastAsia" w:hAnsi="宋体"/>
          <w:color w:val="auto"/>
          <w:highlight w:val="none"/>
          <w:u w:val="single"/>
        </w:rPr>
        <w:t xml:space="preserve">    </w:t>
      </w:r>
      <w:r>
        <w:rPr>
          <w:rFonts w:hint="eastAsia" w:hAnsi="宋体"/>
          <w:color w:val="auto"/>
          <w:highlight w:val="none"/>
        </w:rPr>
        <w:t>份。</w:t>
      </w:r>
    </w:p>
    <w:p>
      <w:pPr>
        <w:pStyle w:val="14"/>
        <w:snapToGrid w:val="0"/>
        <w:spacing w:line="360" w:lineRule="auto"/>
        <w:ind w:left="440"/>
        <w:jc w:val="center"/>
        <w:rPr>
          <w:rFonts w:hAnsi="宋体"/>
          <w:color w:val="auto"/>
          <w:highlight w:val="none"/>
        </w:rPr>
      </w:pPr>
    </w:p>
    <w:p>
      <w:pPr>
        <w:pStyle w:val="14"/>
        <w:snapToGrid w:val="0"/>
        <w:spacing w:line="360" w:lineRule="auto"/>
        <w:ind w:left="220" w:leftChars="100"/>
        <w:rPr>
          <w:rFonts w:hAnsi="宋体"/>
          <w:color w:val="auto"/>
          <w:highlight w:val="none"/>
        </w:rPr>
      </w:pPr>
      <w:r>
        <w:rPr>
          <w:rFonts w:hint="eastAsia" w:hAnsi="宋体"/>
          <w:color w:val="auto"/>
          <w:highlight w:val="none"/>
        </w:rPr>
        <w:t>发包人（甲方）：</w:t>
      </w:r>
      <w:r>
        <w:rPr>
          <w:rFonts w:hint="eastAsia" w:hAnsi="宋体"/>
          <w:color w:val="auto"/>
          <w:highlight w:val="none"/>
          <w:u w:val="single"/>
        </w:rPr>
        <w:t xml:space="preserve">     （全称）（盖章）     </w:t>
      </w:r>
      <w:r>
        <w:rPr>
          <w:rFonts w:hint="eastAsia" w:hAnsi="宋体"/>
          <w:color w:val="auto"/>
          <w:highlight w:val="none"/>
        </w:rPr>
        <w:t xml:space="preserve">    承包人</w:t>
      </w:r>
      <w:r>
        <w:rPr>
          <w:rFonts w:hint="eastAsia" w:hAnsi="宋体"/>
          <w:color w:val="auto"/>
          <w:szCs w:val="24"/>
          <w:highlight w:val="none"/>
        </w:rPr>
        <w:t>（乙方）</w:t>
      </w:r>
      <w:r>
        <w:rPr>
          <w:rFonts w:hint="eastAsia" w:hAnsi="宋体"/>
          <w:color w:val="auto"/>
          <w:highlight w:val="none"/>
        </w:rPr>
        <w:t>：</w:t>
      </w:r>
      <w:r>
        <w:rPr>
          <w:rFonts w:hint="eastAsia" w:hAnsi="宋体"/>
          <w:color w:val="auto"/>
          <w:highlight w:val="none"/>
          <w:u w:val="single"/>
        </w:rPr>
        <w:t xml:space="preserve">       （全称）（盖章）</w:t>
      </w:r>
    </w:p>
    <w:p>
      <w:pPr>
        <w:pStyle w:val="14"/>
        <w:snapToGrid w:val="0"/>
        <w:spacing w:line="360" w:lineRule="auto"/>
        <w:ind w:left="440" w:firstLine="330" w:firstLineChars="150"/>
        <w:jc w:val="center"/>
        <w:rPr>
          <w:rFonts w:hAnsi="宋体"/>
          <w:color w:val="auto"/>
          <w:highlight w:val="none"/>
        </w:rPr>
      </w:pPr>
    </w:p>
    <w:p>
      <w:pPr>
        <w:pStyle w:val="14"/>
        <w:snapToGrid w:val="0"/>
        <w:spacing w:line="360" w:lineRule="auto"/>
        <w:ind w:left="440"/>
        <w:rPr>
          <w:rFonts w:hAnsi="宋体"/>
          <w:color w:val="auto"/>
          <w:highlight w:val="none"/>
        </w:rPr>
      </w:pPr>
      <w:r>
        <w:rPr>
          <w:rFonts w:hint="eastAsia" w:hAnsi="宋体"/>
          <w:color w:val="auto"/>
          <w:highlight w:val="none"/>
        </w:rPr>
        <w:t>法定代表人                                    法定代表人：</w:t>
      </w:r>
      <w:r>
        <w:rPr>
          <w:rFonts w:hint="eastAsia" w:hAnsi="宋体"/>
          <w:color w:val="auto"/>
          <w:highlight w:val="none"/>
          <w:u w:val="single"/>
        </w:rPr>
        <w:t xml:space="preserve">       （签字）</w:t>
      </w:r>
    </w:p>
    <w:p>
      <w:pPr>
        <w:pStyle w:val="14"/>
        <w:snapToGrid w:val="0"/>
        <w:spacing w:line="360" w:lineRule="auto"/>
        <w:ind w:left="440"/>
        <w:rPr>
          <w:rFonts w:hAnsi="宋体"/>
          <w:color w:val="auto"/>
          <w:highlight w:val="none"/>
        </w:rPr>
      </w:pPr>
      <w:r>
        <w:rPr>
          <w:rFonts w:hint="eastAsia" w:hAnsi="宋体"/>
          <w:color w:val="auto"/>
          <w:highlight w:val="none"/>
        </w:rPr>
        <w:t>或其授权人的代理人：</w:t>
      </w:r>
      <w:r>
        <w:rPr>
          <w:rFonts w:hint="eastAsia" w:hAnsi="宋体"/>
          <w:color w:val="auto"/>
          <w:highlight w:val="none"/>
          <w:u w:val="single"/>
        </w:rPr>
        <w:t xml:space="preserve">       （签字）  </w:t>
      </w:r>
      <w:r>
        <w:rPr>
          <w:rFonts w:hint="eastAsia" w:hAnsi="宋体"/>
          <w:color w:val="auto"/>
          <w:highlight w:val="none"/>
        </w:rPr>
        <w:t xml:space="preserve">         或其授权人的代理人：</w:t>
      </w:r>
      <w:r>
        <w:rPr>
          <w:rFonts w:hint="eastAsia" w:hAnsi="宋体"/>
          <w:color w:val="auto"/>
          <w:highlight w:val="none"/>
          <w:u w:val="single"/>
        </w:rPr>
        <w:t xml:space="preserve">       （签字）</w:t>
      </w:r>
    </w:p>
    <w:p>
      <w:pPr>
        <w:pStyle w:val="14"/>
        <w:snapToGrid w:val="0"/>
        <w:spacing w:line="360" w:lineRule="auto"/>
        <w:ind w:left="440"/>
        <w:jc w:val="center"/>
        <w:rPr>
          <w:rFonts w:hAnsi="宋体"/>
          <w:color w:val="auto"/>
          <w:highlight w:val="none"/>
        </w:rPr>
      </w:pPr>
    </w:p>
    <w:p>
      <w:pPr>
        <w:widowControl/>
        <w:autoSpaceDE/>
        <w:autoSpaceDN/>
        <w:ind w:firstLine="220" w:firstLineChars="100"/>
        <w:rPr>
          <w:b/>
          <w:bCs/>
          <w:color w:val="auto"/>
          <w:sz w:val="44"/>
          <w:szCs w:val="44"/>
          <w:highlight w:val="none"/>
          <w:lang w:val="en-US"/>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 xml:space="preserve">月 </w:t>
      </w:r>
      <w:r>
        <w:rPr>
          <w:rFonts w:hint="eastAsia"/>
          <w:color w:val="auto"/>
          <w:highlight w:val="none"/>
          <w:u w:val="single"/>
        </w:rPr>
        <w:t xml:space="preserve">       </w:t>
      </w:r>
      <w:r>
        <w:rPr>
          <w:rFonts w:hint="eastAsia"/>
          <w:color w:val="auto"/>
          <w:highlight w:val="none"/>
        </w:rPr>
        <w:t>日            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日</w:t>
      </w:r>
    </w:p>
    <w:p>
      <w:pPr>
        <w:widowControl/>
        <w:autoSpaceDE/>
        <w:autoSpaceDN/>
        <w:rPr>
          <w:rFonts w:cs="Microsoft JhengHei" w:asciiTheme="majorEastAsia" w:hAnsiTheme="majorEastAsia" w:eastAsiaTheme="majorEastAsia"/>
          <w:b/>
          <w:bCs/>
          <w:color w:val="auto"/>
          <w:sz w:val="44"/>
          <w:szCs w:val="44"/>
          <w:highlight w:val="none"/>
        </w:rPr>
      </w:pPr>
      <w:r>
        <w:rPr>
          <w:rFonts w:asciiTheme="majorEastAsia" w:hAnsiTheme="majorEastAsia" w:eastAsiaTheme="majorEastAsia"/>
          <w:color w:val="auto"/>
          <w:highlight w:val="none"/>
        </w:rPr>
        <w:br w:type="page"/>
      </w:r>
    </w:p>
    <w:p>
      <w:pPr>
        <w:pStyle w:val="3"/>
        <w:adjustRightInd w:val="0"/>
        <w:snapToGrid w:val="0"/>
        <w:spacing w:line="360" w:lineRule="auto"/>
        <w:ind w:right="0"/>
        <w:rPr>
          <w:rFonts w:asciiTheme="majorEastAsia" w:hAnsiTheme="majorEastAsia" w:eastAsiaTheme="majorEastAsia"/>
          <w:color w:val="auto"/>
          <w:highlight w:val="none"/>
        </w:rPr>
      </w:pPr>
      <w:bookmarkStart w:id="187" w:name="_Toc72847716"/>
      <w:r>
        <w:rPr>
          <w:rFonts w:asciiTheme="majorEastAsia" w:hAnsiTheme="majorEastAsia" w:eastAsiaTheme="majorEastAsia"/>
          <w:color w:val="auto"/>
          <w:highlight w:val="none"/>
        </w:rPr>
        <w:t>第五章</w:t>
      </w:r>
      <w:r>
        <w:rPr>
          <w:rFonts w:hint="eastAsia" w:asciiTheme="majorEastAsia" w:hAnsiTheme="majorEastAsia" w:eastAsiaTheme="majorEastAsia"/>
          <w:color w:val="auto"/>
          <w:highlight w:val="none"/>
          <w:lang w:val="en-US" w:eastAsia="zh-CN"/>
        </w:rPr>
        <w:t xml:space="preserve"> </w:t>
      </w:r>
      <w:r>
        <w:rPr>
          <w:rFonts w:asciiTheme="majorEastAsia" w:hAnsiTheme="majorEastAsia" w:eastAsiaTheme="majorEastAsia"/>
          <w:color w:val="auto"/>
          <w:highlight w:val="none"/>
        </w:rPr>
        <w:t>发包人要求</w:t>
      </w:r>
      <w:bookmarkEnd w:id="185"/>
      <w:bookmarkEnd w:id="187"/>
    </w:p>
    <w:p>
      <w:pPr>
        <w:pStyle w:val="23"/>
        <w:spacing w:before="120" w:beforeLines="50" w:afterLines="50"/>
        <w:ind w:left="0" w:leftChars="0" w:firstLine="0" w:firstLineChars="0"/>
        <w:rPr>
          <w:b/>
          <w:color w:val="auto"/>
          <w:kern w:val="2"/>
          <w:sz w:val="24"/>
          <w:szCs w:val="24"/>
          <w:highlight w:val="none"/>
        </w:rPr>
      </w:pPr>
      <w:bookmarkStart w:id="188" w:name="_Toc23915"/>
      <w:r>
        <w:rPr>
          <w:rFonts w:hint="eastAsia"/>
          <w:b/>
          <w:color w:val="auto"/>
          <w:kern w:val="2"/>
          <w:sz w:val="24"/>
          <w:szCs w:val="24"/>
          <w:highlight w:val="none"/>
        </w:rPr>
        <w:t>一、服务宗旨和目标</w:t>
      </w:r>
    </w:p>
    <w:p>
      <w:pPr>
        <w:spacing w:line="360" w:lineRule="auto"/>
        <w:ind w:firstLine="440" w:firstLineChars="200"/>
        <w:rPr>
          <w:rFonts w:cs="Times New Roman"/>
          <w:color w:val="auto"/>
          <w:kern w:val="2"/>
          <w:sz w:val="21"/>
          <w:szCs w:val="21"/>
          <w:highlight w:val="none"/>
          <w:lang w:val="en-US" w:bidi="ar-SA"/>
        </w:rPr>
      </w:pPr>
      <w:r>
        <w:rPr>
          <w:rFonts w:hint="eastAsia"/>
          <w:color w:val="auto"/>
          <w:szCs w:val="21"/>
          <w:highlight w:val="none"/>
        </w:rPr>
        <w:t>I</w:t>
      </w:r>
      <w:r>
        <w:rPr>
          <w:rFonts w:hint="eastAsia" w:cs="Times New Roman"/>
          <w:color w:val="auto"/>
          <w:kern w:val="2"/>
          <w:sz w:val="21"/>
          <w:szCs w:val="21"/>
          <w:highlight w:val="none"/>
          <w:lang w:val="en-US" w:bidi="ar-SA"/>
        </w:rPr>
        <w:t>（一）服务宗旨</w:t>
      </w:r>
    </w:p>
    <w:p>
      <w:pPr>
        <w:spacing w:line="360" w:lineRule="auto"/>
        <w:ind w:firstLine="420" w:firstLineChars="200"/>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必须服从四川都金山地轨道交通有限责任公司的统一管理，提供优质高效的服务，提供良好的工作、生活，创建公司良好的对外窗口形象。</w:t>
      </w:r>
    </w:p>
    <w:p>
      <w:pPr>
        <w:spacing w:line="360" w:lineRule="auto"/>
        <w:ind w:firstLine="420" w:firstLineChars="200"/>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（二）服务目标</w:t>
      </w:r>
    </w:p>
    <w:p>
      <w:pPr>
        <w:spacing w:line="360" w:lineRule="auto"/>
        <w:ind w:firstLine="420" w:firstLineChars="200"/>
        <w:rPr>
          <w:rFonts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必须严格按照合同约定的工作内容全面有效地落实工作和开展工作，确保维护服务水平达到全国优秀物业服务标准。</w:t>
      </w:r>
    </w:p>
    <w:p>
      <w:pPr>
        <w:pStyle w:val="23"/>
        <w:spacing w:before="120" w:beforeLines="50" w:afterLines="50"/>
        <w:ind w:left="0" w:leftChars="0" w:firstLine="0" w:firstLineChars="0"/>
        <w:rPr>
          <w:rFonts w:hint="eastAsia" w:cs="宋体"/>
          <w:b/>
          <w:color w:val="auto"/>
          <w:kern w:val="2"/>
          <w:sz w:val="24"/>
          <w:szCs w:val="24"/>
          <w:highlight w:val="none"/>
          <w:lang w:val="en-US" w:bidi="ar-SA"/>
        </w:rPr>
      </w:pPr>
      <w:r>
        <w:rPr>
          <w:rFonts w:hint="eastAsia" w:cs="宋体"/>
          <w:b/>
          <w:color w:val="auto"/>
          <w:kern w:val="2"/>
          <w:sz w:val="24"/>
          <w:szCs w:val="24"/>
          <w:highlight w:val="none"/>
          <w:lang w:val="en-US" w:bidi="ar-SA"/>
        </w:rPr>
        <w:t>二、管理服务的依据或办法</w:t>
      </w:r>
    </w:p>
    <w:p>
      <w:pPr>
        <w:pStyle w:val="14"/>
        <w:tabs>
          <w:tab w:val="left" w:pos="6513"/>
        </w:tabs>
        <w:spacing w:line="360" w:lineRule="auto"/>
        <w:ind w:firstLine="420" w:firstLineChars="200"/>
        <w:jc w:val="both"/>
        <w:rPr>
          <w:rFonts w:hAnsi="宋体" w:cs="Times New Roman"/>
          <w:color w:val="auto"/>
          <w:kern w:val="2"/>
          <w:sz w:val="21"/>
          <w:highlight w:val="none"/>
          <w:lang w:val="en-US" w:bidi="ar-SA"/>
        </w:rPr>
      </w:pPr>
      <w:r>
        <w:rPr>
          <w:rFonts w:hint="eastAsia" w:hAnsi="宋体" w:cs="Times New Roman"/>
          <w:color w:val="auto"/>
          <w:kern w:val="2"/>
          <w:sz w:val="21"/>
          <w:highlight w:val="none"/>
          <w:lang w:val="en-US" w:bidi="ar-SA"/>
        </w:rPr>
        <w:t>（一）四川都金山地轨道交通有限责任公司上级主管部门对办公区服务水平的相关要求，以及四川都金山地轨道交通有限责任公司制定的</w:t>
      </w:r>
      <w:r>
        <w:rPr>
          <w:rFonts w:hint="eastAsia" w:hAnsi="宋体" w:cs="Times New Roman"/>
          <w:color w:val="auto"/>
          <w:kern w:val="2"/>
          <w:sz w:val="21"/>
          <w:highlight w:val="none"/>
          <w:lang w:val="en-US" w:eastAsia="zh-CN" w:bidi="ar-SA"/>
        </w:rPr>
        <w:t>相关</w:t>
      </w:r>
      <w:r>
        <w:rPr>
          <w:rFonts w:hint="eastAsia" w:hAnsi="宋体" w:cs="Times New Roman"/>
          <w:color w:val="auto"/>
          <w:kern w:val="2"/>
          <w:sz w:val="21"/>
          <w:highlight w:val="none"/>
          <w:lang w:val="en-US" w:bidi="ar-SA"/>
        </w:rPr>
        <w:t>后勤服务项目</w:t>
      </w:r>
      <w:r>
        <w:rPr>
          <w:rFonts w:hint="eastAsia" w:hAnsi="宋体" w:cs="Times New Roman"/>
          <w:color w:val="auto"/>
          <w:kern w:val="2"/>
          <w:sz w:val="21"/>
          <w:highlight w:val="none"/>
          <w:lang w:val="en-US" w:eastAsia="zh-CN" w:bidi="ar-SA"/>
        </w:rPr>
        <w:t>管理</w:t>
      </w:r>
      <w:r>
        <w:rPr>
          <w:rFonts w:hint="eastAsia" w:hAnsi="宋体" w:cs="Times New Roman"/>
          <w:color w:val="auto"/>
          <w:kern w:val="2"/>
          <w:sz w:val="21"/>
          <w:highlight w:val="none"/>
          <w:lang w:val="en-US" w:bidi="ar-SA"/>
        </w:rPr>
        <w:t>暂行办法；</w:t>
      </w:r>
    </w:p>
    <w:p>
      <w:pPr>
        <w:pStyle w:val="59"/>
        <w:autoSpaceDN w:val="0"/>
        <w:spacing w:line="360" w:lineRule="auto"/>
        <w:ind w:firstLine="420" w:firstLineChars="200"/>
        <w:jc w:val="left"/>
        <w:textAlignment w:val="baseline"/>
        <w:rPr>
          <w:rFonts w:ascii="宋体" w:hAnsi="宋体"/>
          <w:color w:val="auto"/>
          <w:kern w:val="2"/>
          <w:highlight w:val="none"/>
        </w:rPr>
      </w:pPr>
      <w:r>
        <w:rPr>
          <w:rFonts w:hint="eastAsia" w:ascii="宋体" w:hAnsi="宋体"/>
          <w:color w:val="auto"/>
          <w:kern w:val="2"/>
          <w:highlight w:val="none"/>
        </w:rPr>
        <w:t>（二）四川都金山地轨道交通有限责任公司上级主管部门后期发布的相关办法、规定。</w:t>
      </w:r>
    </w:p>
    <w:p>
      <w:pPr>
        <w:spacing w:before="120" w:beforeLines="50" w:after="120" w:afterLines="50"/>
        <w:rPr>
          <w:b/>
          <w:color w:val="auto"/>
          <w:sz w:val="24"/>
          <w:highlight w:val="none"/>
        </w:rPr>
      </w:pPr>
      <w:r>
        <w:rPr>
          <w:rFonts w:hint="eastAsia"/>
          <w:b/>
          <w:color w:val="auto"/>
          <w:sz w:val="24"/>
          <w:highlight w:val="none"/>
        </w:rPr>
        <w:t>三、服务内容和要求</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1、后勤管理服务：根据甲方四川都金山地轨道交通后勤服务需要，全面负责后勤项目的现场工作管理及服务品质监督，负责日常工作开展的计划与落实管理工作。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2、后勤管理人员岗位职责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 xml:space="preserve">1）协助上级制定后勤总务及安全管理工作发展规划和计划； </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2）协助审核、修订后勤管理规章制度，进行日常后勤工作的组织与管理；</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 xml:space="preserve">3）协助甲方进行财产、内务、安全管理，为其他部门提供及时有效的后勤服务； </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4）组织保安对甲方的治安、防盗、正常生产秩序、消防安全及交通等项工作进行监督管理；</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5）负责甲方安全生产工作的监督与管理及工伤事故的处理；</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6）负责甲方公共场所、办公楼、综合楼的环境卫生监督和管理，并对保洁员的工作进行指导与考核；</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7）负责对甲方绿化进行管理，监督日常的浇水、种植、除草、杀虫等绿化维护工作；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8）负责甲方各类活动的组织工作及各种会议的会务管理；</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9）负责起草公司后勤综合性文件；</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10）负责甲方会议室及其设备的管理；</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11）负责外来客人的接待安排工作；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12）负责协助甲方与相关政法部门的沟通与联系；</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13）完成甲方交办的相关工作。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3、会务岗位职责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1）负责甲方会务会客接待服务工作；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2）负责甲方会议室使用计划统筹准备服务工作；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3）负责甲方会议室按计划需求布置服务工作；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4）负责甲方会务期间会场服务工作；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5）负责甲方会议室日常管理及环境监督服务工作；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6）负责甲方临时（包括法定节假日）交办的其他的会务接待客服服务工作；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7）协助作好对外联络工作和各部门的协调沟通工作；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8）完成甲方交办的其他工作内容。</w:t>
      </w:r>
      <w:r>
        <w:rPr>
          <w:rFonts w:cs="Times New Roman"/>
          <w:color w:val="auto"/>
          <w:kern w:val="2"/>
          <w:highlight w:val="none"/>
          <w:lang w:val="en-US" w:bidi="ar-SA"/>
        </w:rPr>
        <w:tab/>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4、主厨岗位职责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1）遵守甲方和食堂的规章制度，带头做好本职工作；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2）积极参加食品卫生知识和安全方面的培训；</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3）严格按操作规程作业，保证食品的卫生、可口；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4）负责提供每日菜单，并持续推出新菜色；</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5）提供每日适量的采购计划，并负责日常采购，抓好成本核算；</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6）负责食品的储存，定期清洁及维护厨具；</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7）做好灶间、操作间、包干区卫生，养成良好的个人卫生；</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8）合理使用原材料，节约水、电、煤气；</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9）以身作则严以律己，团队意识强，不搞特殊化。协助领导做好食堂管理工作；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10）完成甲方交办的其他工作。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5、帮厨岗位职责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1）帮厨人员需在制定时间内到达食堂，听从主厨安排做好洗菜，择菜，切菜等协助工作；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2）负责为就餐人员打菜打饭，做到公平公正；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3）就餐期间随时关注桌面情况，做到及时清理，保证用餐环境卫生整洁；</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4）就餐结束，需要将餐具，筷子放置消毒柜进行消毒，剩余食品进行分类存放，对食堂各台面，水池，灶具进行卫生清理；</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5）帮厨人员离开前，需检查各类开关，设备，炉灶煤气等，做好防火，防盗，防毒等工作，关闭厨房点灯，水龙头，门窗方可离开；</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6）所有员工因持有健康证上岗。</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6、杂工岗位职责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1）服从甲方领导工作安排；</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2）做好个人卫生，上岗前着装整洁，做到“四勤”；</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3）做好每天所需工作，如切配，协作，菜品清洗工作，在工作后及时打扫周边卫生，清理残渣；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4）负责甲方食堂清洁卫生，保证就餐人员在一个好的环境下就餐，就餐结束后及时打扫食堂卫生；</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5）做好餐具回收，清洗，消毒等工作；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6）所有员工因持有健康证上岗。</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7、驾驶员岗位职责：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1）学习甲方车辆管理制度，熟悉用车及车辆管理流程，确保甲方各项工作正常用车；</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2）负责行驾车辆的日常保养检查及车辆卫生工作；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3）保证行驾车辆的安全，自觉遵守交通法规；</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4）节约油耗，降低车辆维修保养成本；</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5）负责甲方（综合部归口）管理范围内车辆油卡办理及费用结算；</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6）负责甲方（综合部归口）管理范围内车辆的保险购买工作；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7）负责甲方（综合部归口）管理范围内车辆使用管理，含驾驶员审核、备案、出车及用油情况等，按月做出相关分析；</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8）协助甲方相关职能部门做好生产用车的年检工作；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9）协助做好甲方车辆购置工作；</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10）工作积极主动，服从调度，工作时间不擅自离开工作岗位，协助做好有关工作，对所承担的工作全面负责；</w:t>
      </w:r>
    </w:p>
    <w:p>
      <w:pPr>
        <w:pStyle w:val="2"/>
        <w:spacing w:line="360" w:lineRule="auto"/>
        <w:ind w:left="440" w:leftChars="200" w:firstLine="420" w:firstLineChars="200"/>
        <w:rPr>
          <w:rFonts w:cs="Times New Roman"/>
          <w:color w:val="auto"/>
          <w:kern w:val="2"/>
          <w:highlight w:val="none"/>
          <w:lang w:val="en-US" w:bidi="ar-SA"/>
        </w:rPr>
      </w:pPr>
      <w:r>
        <w:rPr>
          <w:rFonts w:cs="Times New Roman"/>
          <w:color w:val="auto"/>
          <w:kern w:val="2"/>
          <w:highlight w:val="none"/>
          <w:lang w:val="en-US" w:bidi="ar-SA"/>
        </w:rPr>
        <w:t xml:space="preserve">11）完成甲方交办的其他工作内容。 </w:t>
      </w:r>
    </w:p>
    <w:p>
      <w:pPr>
        <w:spacing w:before="120" w:beforeLines="50" w:after="120" w:afterLines="50"/>
        <w:rPr>
          <w:b/>
          <w:color w:val="auto"/>
          <w:sz w:val="24"/>
          <w:highlight w:val="none"/>
        </w:rPr>
      </w:pPr>
      <w:r>
        <w:rPr>
          <w:rFonts w:hint="eastAsia"/>
          <w:b/>
          <w:color w:val="auto"/>
          <w:sz w:val="24"/>
          <w:highlight w:val="none"/>
          <w:lang w:val="en-US"/>
        </w:rPr>
        <w:t>四</w:t>
      </w:r>
      <w:r>
        <w:rPr>
          <w:rFonts w:hint="eastAsia"/>
          <w:b/>
          <w:color w:val="auto"/>
          <w:sz w:val="24"/>
          <w:highlight w:val="none"/>
        </w:rPr>
        <w:t>、物业服务考核要求</w:t>
      </w:r>
    </w:p>
    <w:p>
      <w:pPr>
        <w:pStyle w:val="23"/>
        <w:spacing w:after="0" w:line="360" w:lineRule="auto"/>
        <w:ind w:left="0" w:leftChars="0"/>
        <w:rPr>
          <w:color w:val="auto"/>
          <w:sz w:val="21"/>
          <w:szCs w:val="21"/>
          <w:highlight w:val="none"/>
        </w:rPr>
      </w:pPr>
      <w:r>
        <w:rPr>
          <w:rFonts w:hint="eastAsia"/>
          <w:color w:val="auto"/>
          <w:sz w:val="21"/>
          <w:szCs w:val="21"/>
          <w:highlight w:val="none"/>
        </w:rPr>
        <w:t>（一）</w:t>
      </w:r>
      <w:r>
        <w:rPr>
          <w:rFonts w:hint="eastAsia"/>
          <w:color w:val="auto"/>
          <w:sz w:val="21"/>
          <w:szCs w:val="21"/>
          <w:highlight w:val="none"/>
          <w:lang w:val="en-US"/>
        </w:rPr>
        <w:t>四川都金山地轨道交通</w:t>
      </w:r>
      <w:r>
        <w:rPr>
          <w:rFonts w:hint="eastAsia"/>
          <w:color w:val="auto"/>
          <w:sz w:val="21"/>
          <w:szCs w:val="21"/>
          <w:highlight w:val="none"/>
          <w:lang w:val="en-US" w:eastAsia="zh-CN"/>
        </w:rPr>
        <w:t>物业</w:t>
      </w:r>
      <w:r>
        <w:rPr>
          <w:rFonts w:hint="eastAsia"/>
          <w:color w:val="auto"/>
          <w:sz w:val="21"/>
          <w:szCs w:val="21"/>
          <w:highlight w:val="none"/>
          <w:lang w:val="en-US"/>
        </w:rPr>
        <w:t>服务项目</w:t>
      </w:r>
      <w:r>
        <w:rPr>
          <w:rFonts w:hint="eastAsia"/>
          <w:color w:val="auto"/>
          <w:sz w:val="21"/>
          <w:szCs w:val="21"/>
          <w:highlight w:val="none"/>
        </w:rPr>
        <w:t>的检查和监督管理采取现场打分、问卷调查、明察暗访等多种形式进行，定期检查和不定期检查相结合。由</w:t>
      </w:r>
      <w:r>
        <w:rPr>
          <w:rFonts w:hint="eastAsia" w:cs="Courier New"/>
          <w:color w:val="auto"/>
          <w:sz w:val="21"/>
          <w:szCs w:val="21"/>
          <w:highlight w:val="none"/>
          <w:lang w:val="en-US"/>
        </w:rPr>
        <w:t>四川都金山地轨道交通有限责任公司</w:t>
      </w:r>
      <w:r>
        <w:rPr>
          <w:rFonts w:hint="eastAsia"/>
          <w:color w:val="auto"/>
          <w:sz w:val="21"/>
          <w:szCs w:val="21"/>
          <w:highlight w:val="none"/>
        </w:rPr>
        <w:t>各部门会同承包人每季度至少组织一次正式考核评分，考核结果上报公司；</w:t>
      </w:r>
    </w:p>
    <w:p>
      <w:pPr>
        <w:pStyle w:val="23"/>
        <w:spacing w:after="0" w:line="360" w:lineRule="auto"/>
        <w:ind w:left="0" w:leftChars="0"/>
        <w:rPr>
          <w:color w:val="auto"/>
          <w:sz w:val="21"/>
          <w:szCs w:val="21"/>
          <w:highlight w:val="none"/>
        </w:rPr>
      </w:pPr>
      <w:r>
        <w:rPr>
          <w:rFonts w:hint="eastAsia"/>
          <w:color w:val="auto"/>
          <w:sz w:val="21"/>
          <w:szCs w:val="21"/>
          <w:highlight w:val="none"/>
        </w:rPr>
        <w:t>（二）主要对合同约定范围内的各方面的管理情况进行考核。考核等级分为合格和不合格两个档次。</w:t>
      </w:r>
    </w:p>
    <w:p>
      <w:pPr>
        <w:pStyle w:val="23"/>
        <w:spacing w:after="0" w:line="360" w:lineRule="auto"/>
        <w:ind w:left="0" w:leftChars="0"/>
        <w:rPr>
          <w:color w:val="auto"/>
          <w:sz w:val="21"/>
          <w:szCs w:val="21"/>
          <w:highlight w:val="none"/>
        </w:rPr>
      </w:pPr>
      <w:r>
        <w:rPr>
          <w:rFonts w:hint="eastAsia" w:cs="Courier New"/>
          <w:color w:val="auto"/>
          <w:sz w:val="21"/>
          <w:szCs w:val="21"/>
          <w:highlight w:val="none"/>
        </w:rPr>
        <w:t>（三）具体考核要求按照专用合同条款，以及</w:t>
      </w:r>
      <w:r>
        <w:rPr>
          <w:rFonts w:hint="eastAsia" w:cs="Courier New"/>
          <w:color w:val="auto"/>
          <w:sz w:val="21"/>
          <w:szCs w:val="21"/>
          <w:highlight w:val="none"/>
          <w:lang w:val="en-US"/>
        </w:rPr>
        <w:t>四川都金山地轨道交通有限责任公司</w:t>
      </w:r>
      <w:r>
        <w:rPr>
          <w:rFonts w:hint="eastAsia" w:cs="Courier New"/>
          <w:color w:val="auto"/>
          <w:sz w:val="21"/>
          <w:szCs w:val="21"/>
          <w:highlight w:val="none"/>
        </w:rPr>
        <w:t>的相关规定执行。</w:t>
      </w:r>
    </w:p>
    <w:p>
      <w:pPr>
        <w:jc w:val="both"/>
        <w:rPr>
          <w:rFonts w:cs="Courier New"/>
          <w:color w:val="auto"/>
          <w:szCs w:val="21"/>
          <w:highlight w:val="none"/>
        </w:rPr>
      </w:pPr>
      <w:bookmarkStart w:id="189" w:name="_Toc339616112"/>
      <w:bookmarkStart w:id="190" w:name="_Toc291595861"/>
    </w:p>
    <w:bookmarkEnd w:id="189"/>
    <w:bookmarkEnd w:id="190"/>
    <w:p>
      <w:pPr>
        <w:rPr>
          <w:color w:val="auto"/>
          <w:highlight w:val="none"/>
        </w:rPr>
      </w:pPr>
      <w:r>
        <w:rPr>
          <w:rFonts w:hint="eastAsia"/>
          <w:b/>
          <w:color w:val="auto"/>
          <w:sz w:val="24"/>
          <w:highlight w:val="none"/>
        </w:rPr>
        <w:t>五、报价事项</w:t>
      </w:r>
    </w:p>
    <w:p>
      <w:pPr>
        <w:jc w:val="center"/>
        <w:rPr>
          <w:color w:val="auto"/>
          <w:highlight w:val="none"/>
        </w:rPr>
      </w:pPr>
    </w:p>
    <w:p>
      <w:pPr>
        <w:pStyle w:val="23"/>
        <w:ind w:left="440" w:firstLine="315" w:firstLineChars="150"/>
        <w:rPr>
          <w:rFonts w:cs="Courier New"/>
          <w:color w:val="auto"/>
          <w:sz w:val="21"/>
          <w:szCs w:val="21"/>
          <w:highlight w:val="none"/>
        </w:rPr>
      </w:pPr>
      <w:r>
        <w:rPr>
          <w:rFonts w:hint="eastAsia" w:cs="Courier New"/>
          <w:color w:val="auto"/>
          <w:sz w:val="21"/>
          <w:szCs w:val="21"/>
          <w:highlight w:val="none"/>
        </w:rPr>
        <w:t>WY1标段：</w:t>
      </w:r>
    </w:p>
    <w:p>
      <w:pPr>
        <w:pStyle w:val="23"/>
        <w:ind w:left="440" w:firstLine="315" w:firstLineChars="150"/>
        <w:rPr>
          <w:rFonts w:cs="Courier New"/>
          <w:color w:val="auto"/>
          <w:sz w:val="21"/>
          <w:szCs w:val="21"/>
          <w:highlight w:val="none"/>
        </w:rPr>
      </w:pPr>
      <w:r>
        <w:rPr>
          <w:rFonts w:hint="eastAsia" w:cs="Courier New"/>
          <w:color w:val="auto"/>
          <w:sz w:val="21"/>
          <w:szCs w:val="21"/>
          <w:highlight w:val="none"/>
        </w:rPr>
        <w:t>表1：</w:t>
      </w:r>
      <w:r>
        <w:rPr>
          <w:rFonts w:hint="eastAsia" w:cs="Courier New"/>
          <w:color w:val="auto"/>
          <w:sz w:val="21"/>
          <w:szCs w:val="21"/>
          <w:highlight w:val="none"/>
          <w:lang w:val="en-US"/>
        </w:rPr>
        <w:t>四川都金山地轨道交通有限责任公司</w:t>
      </w:r>
      <w:r>
        <w:rPr>
          <w:rFonts w:hint="eastAsia" w:cs="Courier New"/>
          <w:color w:val="auto"/>
          <w:sz w:val="21"/>
          <w:szCs w:val="21"/>
          <w:highlight w:val="none"/>
          <w:lang w:val="en-US" w:eastAsia="zh-CN"/>
        </w:rPr>
        <w:t>物业</w:t>
      </w:r>
      <w:r>
        <w:rPr>
          <w:rFonts w:hint="eastAsia" w:cs="Courier New"/>
          <w:color w:val="auto"/>
          <w:sz w:val="21"/>
          <w:szCs w:val="21"/>
          <w:highlight w:val="none"/>
          <w:lang w:val="en-US"/>
        </w:rPr>
        <w:t>服务</w:t>
      </w:r>
      <w:r>
        <w:rPr>
          <w:rFonts w:hint="eastAsia" w:cs="Courier New"/>
          <w:color w:val="auto"/>
          <w:sz w:val="21"/>
          <w:szCs w:val="21"/>
          <w:highlight w:val="none"/>
        </w:rPr>
        <w:t>岗位配置明细</w:t>
      </w:r>
    </w:p>
    <w:tbl>
      <w:tblPr>
        <w:tblStyle w:val="24"/>
        <w:tblpPr w:leftFromText="180" w:rightFromText="180" w:vertAnchor="text" w:horzAnchor="page" w:tblpX="1512" w:tblpY="52"/>
        <w:tblOverlap w:val="never"/>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08"/>
        <w:gridCol w:w="708"/>
        <w:gridCol w:w="853"/>
        <w:gridCol w:w="709"/>
        <w:gridCol w:w="848"/>
        <w:gridCol w:w="710"/>
        <w:gridCol w:w="711"/>
        <w:gridCol w:w="1417"/>
        <w:gridCol w:w="851"/>
        <w:gridCol w:w="851"/>
      </w:tblGrid>
      <w:tr>
        <w:trPr>
          <w:trHeight w:val="830" w:hRule="atLeast"/>
        </w:trPr>
        <w:tc>
          <w:tcPr>
            <w:tcW w:w="957" w:type="dxa"/>
            <w:vAlign w:val="center"/>
          </w:tcPr>
          <w:p>
            <w:pPr>
              <w:widowControl/>
              <w:jc w:val="center"/>
              <w:rPr>
                <w:color w:val="auto"/>
                <w:highlight w:val="none"/>
              </w:rPr>
            </w:pPr>
            <w:r>
              <w:rPr>
                <w:rFonts w:hint="eastAsia"/>
                <w:color w:val="auto"/>
                <w:highlight w:val="none"/>
                <w:lang w:val="en-US"/>
              </w:rPr>
              <w:t>项目</w:t>
            </w:r>
            <w:r>
              <w:rPr>
                <w:rFonts w:hint="eastAsia"/>
                <w:color w:val="auto"/>
                <w:highlight w:val="none"/>
              </w:rPr>
              <w:t>名称</w:t>
            </w:r>
          </w:p>
        </w:tc>
        <w:tc>
          <w:tcPr>
            <w:tcW w:w="708" w:type="dxa"/>
          </w:tcPr>
          <w:p>
            <w:pPr>
              <w:widowControl/>
              <w:jc w:val="center"/>
              <w:rPr>
                <w:color w:val="auto"/>
                <w:highlight w:val="none"/>
                <w:lang w:val="en-US"/>
              </w:rPr>
            </w:pPr>
          </w:p>
          <w:p>
            <w:pPr>
              <w:widowControl/>
              <w:jc w:val="center"/>
              <w:rPr>
                <w:color w:val="auto"/>
                <w:highlight w:val="none"/>
                <w:lang w:val="en-US"/>
              </w:rPr>
            </w:pPr>
            <w:r>
              <w:rPr>
                <w:rFonts w:hint="eastAsia"/>
                <w:color w:val="auto"/>
                <w:highlight w:val="none"/>
                <w:lang w:val="en-US"/>
              </w:rPr>
              <w:t>岗位</w:t>
            </w:r>
          </w:p>
        </w:tc>
        <w:tc>
          <w:tcPr>
            <w:tcW w:w="708" w:type="dxa"/>
            <w:vAlign w:val="center"/>
          </w:tcPr>
          <w:p>
            <w:pPr>
              <w:widowControl/>
              <w:jc w:val="center"/>
              <w:rPr>
                <w:color w:val="auto"/>
                <w:highlight w:val="none"/>
              </w:rPr>
            </w:pPr>
            <w:r>
              <w:rPr>
                <w:rFonts w:hint="eastAsia"/>
                <w:color w:val="auto"/>
                <w:highlight w:val="none"/>
                <w:lang w:val="en-US"/>
              </w:rPr>
              <w:t>后勤管理人员</w:t>
            </w:r>
          </w:p>
        </w:tc>
        <w:tc>
          <w:tcPr>
            <w:tcW w:w="853" w:type="dxa"/>
            <w:vAlign w:val="center"/>
          </w:tcPr>
          <w:p>
            <w:pPr>
              <w:widowControl/>
              <w:jc w:val="center"/>
              <w:rPr>
                <w:color w:val="auto"/>
                <w:highlight w:val="none"/>
              </w:rPr>
            </w:pPr>
            <w:r>
              <w:rPr>
                <w:rFonts w:hint="eastAsia"/>
                <w:color w:val="auto"/>
                <w:highlight w:val="none"/>
                <w:lang w:val="en-US"/>
              </w:rPr>
              <w:t>会务服务员</w:t>
            </w:r>
          </w:p>
        </w:tc>
        <w:tc>
          <w:tcPr>
            <w:tcW w:w="709" w:type="dxa"/>
            <w:vAlign w:val="center"/>
          </w:tcPr>
          <w:p>
            <w:pPr>
              <w:widowControl/>
              <w:jc w:val="center"/>
              <w:rPr>
                <w:color w:val="auto"/>
                <w:highlight w:val="none"/>
                <w:lang w:val="en-US"/>
              </w:rPr>
            </w:pPr>
            <w:r>
              <w:rPr>
                <w:rFonts w:hint="eastAsia"/>
                <w:color w:val="auto"/>
                <w:highlight w:val="none"/>
                <w:lang w:val="en-US"/>
              </w:rPr>
              <w:t>小车驾驶员</w:t>
            </w:r>
          </w:p>
        </w:tc>
        <w:tc>
          <w:tcPr>
            <w:tcW w:w="848" w:type="dxa"/>
            <w:vAlign w:val="center"/>
          </w:tcPr>
          <w:p>
            <w:pPr>
              <w:widowControl/>
              <w:jc w:val="center"/>
              <w:rPr>
                <w:color w:val="auto"/>
                <w:highlight w:val="none"/>
              </w:rPr>
            </w:pPr>
            <w:r>
              <w:rPr>
                <w:rFonts w:hint="eastAsia"/>
                <w:color w:val="auto"/>
                <w:highlight w:val="none"/>
                <w:lang w:val="en-US"/>
              </w:rPr>
              <w:t>杂工</w:t>
            </w:r>
          </w:p>
        </w:tc>
        <w:tc>
          <w:tcPr>
            <w:tcW w:w="710" w:type="dxa"/>
            <w:vAlign w:val="center"/>
          </w:tcPr>
          <w:p>
            <w:pPr>
              <w:widowControl/>
              <w:jc w:val="center"/>
              <w:rPr>
                <w:color w:val="auto"/>
                <w:highlight w:val="none"/>
              </w:rPr>
            </w:pPr>
            <w:r>
              <w:rPr>
                <w:rFonts w:hint="eastAsia"/>
                <w:color w:val="auto"/>
                <w:highlight w:val="none"/>
                <w:lang w:val="en-US"/>
              </w:rPr>
              <w:t>帮厨</w:t>
            </w:r>
          </w:p>
        </w:tc>
        <w:tc>
          <w:tcPr>
            <w:tcW w:w="711" w:type="dxa"/>
            <w:vAlign w:val="center"/>
          </w:tcPr>
          <w:p>
            <w:pPr>
              <w:widowControl/>
              <w:jc w:val="center"/>
              <w:rPr>
                <w:color w:val="auto"/>
                <w:highlight w:val="none"/>
                <w:lang w:val="en-US"/>
              </w:rPr>
            </w:pPr>
            <w:r>
              <w:rPr>
                <w:rFonts w:hint="eastAsia"/>
                <w:color w:val="auto"/>
                <w:highlight w:val="none"/>
                <w:lang w:val="en-US"/>
              </w:rPr>
              <w:t>主厨</w:t>
            </w:r>
          </w:p>
        </w:tc>
        <w:tc>
          <w:tcPr>
            <w:tcW w:w="1417" w:type="dxa"/>
            <w:vAlign w:val="center"/>
          </w:tcPr>
          <w:p>
            <w:pPr>
              <w:widowControl/>
              <w:jc w:val="center"/>
              <w:rPr>
                <w:color w:val="auto"/>
                <w:highlight w:val="none"/>
              </w:rPr>
            </w:pPr>
            <w:r>
              <w:rPr>
                <w:rFonts w:hint="eastAsia"/>
                <w:color w:val="auto"/>
                <w:highlight w:val="none"/>
                <w:lang w:val="en-US"/>
              </w:rPr>
              <w:t>辅助人员</w:t>
            </w:r>
          </w:p>
        </w:tc>
        <w:tc>
          <w:tcPr>
            <w:tcW w:w="851" w:type="dxa"/>
          </w:tcPr>
          <w:p>
            <w:pPr>
              <w:widowControl/>
              <w:jc w:val="center"/>
              <w:rPr>
                <w:color w:val="auto"/>
                <w:highlight w:val="none"/>
              </w:rPr>
            </w:pPr>
          </w:p>
          <w:p>
            <w:pPr>
              <w:widowControl/>
              <w:jc w:val="center"/>
              <w:rPr>
                <w:rFonts w:hint="eastAsia"/>
                <w:color w:val="auto"/>
                <w:highlight w:val="none"/>
              </w:rPr>
            </w:pPr>
            <w:r>
              <w:rPr>
                <w:rFonts w:hint="eastAsia"/>
                <w:color w:val="auto"/>
                <w:highlight w:val="none"/>
              </w:rPr>
              <w:t>总计</w:t>
            </w:r>
          </w:p>
        </w:tc>
        <w:tc>
          <w:tcPr>
            <w:tcW w:w="851" w:type="dxa"/>
            <w:vAlign w:val="center"/>
          </w:tcPr>
          <w:p>
            <w:pPr>
              <w:widowControl/>
              <w:jc w:val="center"/>
              <w:rPr>
                <w:color w:val="auto"/>
                <w:highlight w:val="none"/>
              </w:rPr>
            </w:pPr>
            <w:r>
              <w:rPr>
                <w:rFonts w:hint="eastAsia"/>
                <w:color w:val="auto"/>
                <w:highlight w:val="none"/>
              </w:rPr>
              <w:t>备注</w:t>
            </w:r>
          </w:p>
        </w:tc>
      </w:tr>
      <w:tr>
        <w:trPr>
          <w:trHeight w:val="844" w:hRule="atLeast"/>
        </w:trPr>
        <w:tc>
          <w:tcPr>
            <w:tcW w:w="957" w:type="dxa"/>
            <w:vAlign w:val="center"/>
          </w:tcPr>
          <w:p>
            <w:pPr>
              <w:widowControl/>
              <w:jc w:val="center"/>
              <w:rPr>
                <w:color w:val="auto"/>
                <w:highlight w:val="none"/>
              </w:rPr>
            </w:pPr>
            <w:r>
              <w:rPr>
                <w:rFonts w:hint="eastAsia"/>
                <w:color w:val="auto"/>
                <w:highlight w:val="none"/>
                <w:lang w:val="en-US"/>
              </w:rPr>
              <w:t>四川都金山地轨道交通有限责任公司</w:t>
            </w:r>
            <w:r>
              <w:rPr>
                <w:rFonts w:hint="eastAsia"/>
                <w:color w:val="auto"/>
                <w:highlight w:val="none"/>
                <w:lang w:val="en-US" w:eastAsia="zh-CN"/>
              </w:rPr>
              <w:t>物业</w:t>
            </w:r>
            <w:r>
              <w:rPr>
                <w:rFonts w:hint="eastAsia"/>
                <w:color w:val="auto"/>
                <w:highlight w:val="none"/>
                <w:lang w:val="en-US"/>
              </w:rPr>
              <w:t>服务</w:t>
            </w:r>
          </w:p>
        </w:tc>
        <w:tc>
          <w:tcPr>
            <w:tcW w:w="708" w:type="dxa"/>
          </w:tcPr>
          <w:p>
            <w:pPr>
              <w:widowControl/>
              <w:jc w:val="center"/>
              <w:rPr>
                <w:color w:val="auto"/>
                <w:highlight w:val="none"/>
                <w:lang w:val="en-US"/>
              </w:rPr>
            </w:pPr>
          </w:p>
          <w:p>
            <w:pPr>
              <w:widowControl/>
              <w:jc w:val="center"/>
              <w:rPr>
                <w:color w:val="auto"/>
                <w:highlight w:val="none"/>
                <w:lang w:val="en-US"/>
              </w:rPr>
            </w:pPr>
            <w:r>
              <w:rPr>
                <w:rFonts w:hint="eastAsia"/>
                <w:color w:val="auto"/>
                <w:highlight w:val="none"/>
                <w:lang w:val="en-US"/>
              </w:rPr>
              <w:t>人数</w:t>
            </w:r>
          </w:p>
        </w:tc>
        <w:tc>
          <w:tcPr>
            <w:tcW w:w="708" w:type="dxa"/>
            <w:vAlign w:val="center"/>
          </w:tcPr>
          <w:p>
            <w:pPr>
              <w:widowControl/>
              <w:jc w:val="center"/>
              <w:rPr>
                <w:color w:val="auto"/>
                <w:highlight w:val="none"/>
              </w:rPr>
            </w:pPr>
            <w:r>
              <w:rPr>
                <w:rFonts w:hint="eastAsia"/>
                <w:color w:val="auto"/>
                <w:highlight w:val="none"/>
                <w:lang w:val="en-US"/>
              </w:rPr>
              <w:t>1</w:t>
            </w:r>
          </w:p>
        </w:tc>
        <w:tc>
          <w:tcPr>
            <w:tcW w:w="853" w:type="dxa"/>
            <w:vAlign w:val="center"/>
          </w:tcPr>
          <w:p>
            <w:pPr>
              <w:widowControl/>
              <w:jc w:val="center"/>
              <w:rPr>
                <w:color w:val="auto"/>
                <w:highlight w:val="none"/>
              </w:rPr>
            </w:pPr>
            <w:r>
              <w:rPr>
                <w:rFonts w:hint="eastAsia"/>
                <w:color w:val="auto"/>
                <w:highlight w:val="none"/>
                <w:lang w:val="en-US"/>
              </w:rPr>
              <w:t>1</w:t>
            </w:r>
          </w:p>
        </w:tc>
        <w:tc>
          <w:tcPr>
            <w:tcW w:w="709" w:type="dxa"/>
            <w:vAlign w:val="center"/>
          </w:tcPr>
          <w:p>
            <w:pPr>
              <w:widowControl/>
              <w:jc w:val="center"/>
              <w:rPr>
                <w:color w:val="auto"/>
                <w:highlight w:val="none"/>
                <w:lang w:val="en-US"/>
              </w:rPr>
            </w:pPr>
            <w:r>
              <w:rPr>
                <w:rFonts w:hint="eastAsia"/>
                <w:color w:val="auto"/>
                <w:highlight w:val="none"/>
                <w:lang w:val="en-US"/>
              </w:rPr>
              <w:t>7</w:t>
            </w:r>
          </w:p>
        </w:tc>
        <w:tc>
          <w:tcPr>
            <w:tcW w:w="848" w:type="dxa"/>
            <w:vAlign w:val="center"/>
          </w:tcPr>
          <w:p>
            <w:pPr>
              <w:widowControl/>
              <w:jc w:val="center"/>
              <w:rPr>
                <w:color w:val="auto"/>
                <w:highlight w:val="none"/>
                <w:lang w:val="en-US"/>
              </w:rPr>
            </w:pPr>
            <w:r>
              <w:rPr>
                <w:color w:val="auto"/>
                <w:highlight w:val="none"/>
                <w:lang w:val="en-US"/>
              </w:rPr>
              <w:t>4</w:t>
            </w:r>
          </w:p>
        </w:tc>
        <w:tc>
          <w:tcPr>
            <w:tcW w:w="710" w:type="dxa"/>
            <w:vAlign w:val="center"/>
          </w:tcPr>
          <w:p>
            <w:pPr>
              <w:widowControl/>
              <w:jc w:val="center"/>
              <w:rPr>
                <w:color w:val="auto"/>
                <w:highlight w:val="none"/>
                <w:lang w:val="en-US"/>
              </w:rPr>
            </w:pPr>
            <w:r>
              <w:rPr>
                <w:color w:val="auto"/>
                <w:highlight w:val="none"/>
                <w:lang w:val="en-US"/>
              </w:rPr>
              <w:t>1</w:t>
            </w:r>
          </w:p>
        </w:tc>
        <w:tc>
          <w:tcPr>
            <w:tcW w:w="711" w:type="dxa"/>
            <w:vAlign w:val="center"/>
          </w:tcPr>
          <w:p>
            <w:pPr>
              <w:widowControl/>
              <w:jc w:val="center"/>
              <w:rPr>
                <w:color w:val="auto"/>
                <w:highlight w:val="none"/>
                <w:lang w:val="en-US"/>
              </w:rPr>
            </w:pPr>
            <w:r>
              <w:rPr>
                <w:rFonts w:hint="eastAsia"/>
                <w:color w:val="auto"/>
                <w:highlight w:val="none"/>
                <w:lang w:val="en-US"/>
              </w:rPr>
              <w:t>3</w:t>
            </w:r>
          </w:p>
        </w:tc>
        <w:tc>
          <w:tcPr>
            <w:tcW w:w="1417" w:type="dxa"/>
            <w:vAlign w:val="center"/>
          </w:tcPr>
          <w:p>
            <w:pPr>
              <w:widowControl/>
              <w:jc w:val="center"/>
              <w:rPr>
                <w:rFonts w:hint="eastAsia" w:eastAsia="宋体"/>
                <w:color w:val="auto"/>
                <w:highlight w:val="none"/>
                <w:lang w:val="en-US" w:eastAsia="zh-CN"/>
              </w:rPr>
            </w:pPr>
            <w:r>
              <w:rPr>
                <w:rFonts w:hint="eastAsia"/>
                <w:color w:val="auto"/>
                <w:highlight w:val="none"/>
                <w:lang w:val="en-US" w:eastAsia="zh-CN"/>
              </w:rPr>
              <w:t>4</w:t>
            </w:r>
          </w:p>
        </w:tc>
        <w:tc>
          <w:tcPr>
            <w:tcW w:w="851" w:type="dxa"/>
          </w:tcPr>
          <w:p>
            <w:pPr>
              <w:widowControl/>
              <w:jc w:val="center"/>
              <w:rPr>
                <w:color w:val="auto"/>
                <w:highlight w:val="none"/>
              </w:rPr>
            </w:pPr>
          </w:p>
          <w:p>
            <w:pPr>
              <w:widowControl/>
              <w:jc w:val="center"/>
              <w:rPr>
                <w:color w:val="auto"/>
                <w:highlight w:val="none"/>
              </w:rPr>
            </w:pPr>
          </w:p>
          <w:p>
            <w:pPr>
              <w:widowControl/>
              <w:jc w:val="center"/>
              <w:rPr>
                <w:color w:val="auto"/>
                <w:highlight w:val="none"/>
              </w:rPr>
            </w:pPr>
          </w:p>
          <w:p>
            <w:pPr>
              <w:widowControl/>
              <w:jc w:val="center"/>
              <w:rPr>
                <w:color w:val="auto"/>
                <w:highlight w:val="none"/>
              </w:rPr>
            </w:pPr>
            <w:r>
              <w:rPr>
                <w:color w:val="auto"/>
                <w:highlight w:val="none"/>
              </w:rPr>
              <w:t>2</w:t>
            </w:r>
            <w:r>
              <w:rPr>
                <w:rFonts w:hint="eastAsia"/>
                <w:color w:val="auto"/>
                <w:highlight w:val="none"/>
                <w:lang w:val="en-US" w:eastAsia="zh-CN"/>
              </w:rPr>
              <w:t>1</w:t>
            </w:r>
          </w:p>
        </w:tc>
        <w:tc>
          <w:tcPr>
            <w:tcW w:w="851" w:type="dxa"/>
            <w:vAlign w:val="center"/>
          </w:tcPr>
          <w:p>
            <w:pPr>
              <w:widowControl/>
              <w:jc w:val="center"/>
              <w:rPr>
                <w:color w:val="auto"/>
                <w:highlight w:val="none"/>
              </w:rPr>
            </w:pPr>
          </w:p>
        </w:tc>
      </w:tr>
    </w:tbl>
    <w:p>
      <w:pPr>
        <w:widowControl/>
        <w:autoSpaceDE/>
        <w:autoSpaceDN/>
        <w:rPr>
          <w:rFonts w:cs="Microsoft JhengHei" w:asciiTheme="majorEastAsia" w:hAnsiTheme="majorEastAsia" w:eastAsiaTheme="majorEastAsia"/>
          <w:b/>
          <w:bCs/>
          <w:color w:val="auto"/>
          <w:sz w:val="21"/>
          <w:szCs w:val="21"/>
          <w:highlight w:val="none"/>
        </w:rPr>
      </w:pPr>
    </w:p>
    <w:p>
      <w:pPr>
        <w:widowControl/>
        <w:autoSpaceDE/>
        <w:autoSpaceDN/>
        <w:ind w:firstLine="420" w:firstLineChars="200"/>
        <w:rPr>
          <w:rFonts w:cs="Microsoft JhengHei" w:asciiTheme="majorEastAsia" w:hAnsiTheme="majorEastAsia" w:eastAsiaTheme="majorEastAsia"/>
          <w:b/>
          <w:bCs/>
          <w:color w:val="auto"/>
          <w:sz w:val="21"/>
          <w:szCs w:val="21"/>
          <w:highlight w:val="none"/>
        </w:rPr>
      </w:pPr>
      <w:r>
        <w:rPr>
          <w:rFonts w:hint="eastAsia" w:cs="Microsoft JhengHei" w:asciiTheme="majorEastAsia" w:hAnsiTheme="majorEastAsia" w:eastAsiaTheme="majorEastAsia"/>
          <w:b/>
          <w:bCs/>
          <w:color w:val="auto"/>
          <w:sz w:val="21"/>
          <w:szCs w:val="21"/>
          <w:highlight w:val="none"/>
        </w:rPr>
        <w:t>以上人员数量为暂定，结算时以当月实际</w:t>
      </w:r>
      <w:r>
        <w:rPr>
          <w:rFonts w:hint="eastAsia" w:cs="Microsoft JhengHei" w:asciiTheme="majorEastAsia" w:hAnsiTheme="majorEastAsia" w:eastAsiaTheme="majorEastAsia"/>
          <w:b/>
          <w:bCs/>
          <w:color w:val="auto"/>
          <w:sz w:val="21"/>
          <w:szCs w:val="21"/>
          <w:highlight w:val="none"/>
          <w:lang w:val="en-US" w:eastAsia="zh-CN"/>
        </w:rPr>
        <w:t>到岗</w:t>
      </w:r>
      <w:r>
        <w:rPr>
          <w:rFonts w:hint="eastAsia" w:cs="Microsoft JhengHei" w:asciiTheme="majorEastAsia" w:hAnsiTheme="majorEastAsia" w:eastAsiaTheme="majorEastAsia"/>
          <w:b/>
          <w:bCs/>
          <w:color w:val="auto"/>
          <w:sz w:val="21"/>
          <w:szCs w:val="21"/>
          <w:highlight w:val="none"/>
        </w:rPr>
        <w:t>人数及相应岗位工资</w:t>
      </w:r>
      <w:r>
        <w:rPr>
          <w:rFonts w:hint="eastAsia" w:cs="Microsoft JhengHei" w:asciiTheme="majorEastAsia" w:hAnsiTheme="majorEastAsia" w:eastAsiaTheme="majorEastAsia"/>
          <w:b/>
          <w:bCs/>
          <w:color w:val="auto"/>
          <w:sz w:val="21"/>
          <w:szCs w:val="21"/>
          <w:highlight w:val="none"/>
          <w:lang w:val="en-US" w:eastAsia="zh-CN"/>
        </w:rPr>
        <w:t>标准进行</w:t>
      </w:r>
      <w:r>
        <w:rPr>
          <w:rFonts w:hint="eastAsia" w:cs="Microsoft JhengHei" w:asciiTheme="majorEastAsia" w:hAnsiTheme="majorEastAsia" w:eastAsiaTheme="majorEastAsia"/>
          <w:b/>
          <w:bCs/>
          <w:color w:val="auto"/>
          <w:sz w:val="21"/>
          <w:szCs w:val="21"/>
          <w:highlight w:val="none"/>
        </w:rPr>
        <w:t>结算，其中：驾驶员应具有C</w:t>
      </w:r>
      <w:r>
        <w:rPr>
          <w:rFonts w:cs="Microsoft JhengHei" w:asciiTheme="majorEastAsia" w:hAnsiTheme="majorEastAsia" w:eastAsiaTheme="majorEastAsia"/>
          <w:b/>
          <w:bCs/>
          <w:color w:val="auto"/>
          <w:sz w:val="21"/>
          <w:szCs w:val="21"/>
          <w:highlight w:val="none"/>
        </w:rPr>
        <w:t>1</w:t>
      </w:r>
      <w:r>
        <w:rPr>
          <w:rFonts w:hint="eastAsia" w:cs="Microsoft JhengHei" w:asciiTheme="majorEastAsia" w:hAnsiTheme="majorEastAsia" w:eastAsiaTheme="majorEastAsia"/>
          <w:b/>
          <w:bCs/>
          <w:color w:val="auto"/>
          <w:sz w:val="21"/>
          <w:szCs w:val="21"/>
          <w:highlight w:val="none"/>
        </w:rPr>
        <w:t>及以上驾照，主厨及帮厨应具有厨师证。</w:t>
      </w:r>
    </w:p>
    <w:p>
      <w:pPr>
        <w:pStyle w:val="3"/>
        <w:spacing w:line="683" w:lineRule="exact"/>
        <w:rPr>
          <w:rFonts w:asciiTheme="majorEastAsia" w:hAnsiTheme="majorEastAsia" w:eastAsiaTheme="majorEastAsia"/>
          <w:color w:val="auto"/>
          <w:highlight w:val="none"/>
        </w:rPr>
      </w:pPr>
    </w:p>
    <w:p>
      <w:pPr>
        <w:widowControl/>
        <w:autoSpaceDE/>
        <w:autoSpaceDN/>
        <w:rPr>
          <w:rFonts w:cs="Microsoft JhengHei" w:asciiTheme="majorEastAsia" w:hAnsiTheme="majorEastAsia" w:eastAsiaTheme="majorEastAsia"/>
          <w:b/>
          <w:bCs/>
          <w:color w:val="auto"/>
          <w:sz w:val="44"/>
          <w:szCs w:val="44"/>
          <w:highlight w:val="none"/>
        </w:rPr>
      </w:pPr>
      <w:r>
        <w:rPr>
          <w:rFonts w:asciiTheme="majorEastAsia" w:hAnsiTheme="majorEastAsia" w:eastAsiaTheme="majorEastAsia"/>
          <w:color w:val="auto"/>
          <w:highlight w:val="none"/>
        </w:rPr>
        <w:br w:type="page"/>
      </w:r>
    </w:p>
    <w:p>
      <w:pPr>
        <w:pStyle w:val="3"/>
        <w:spacing w:line="683" w:lineRule="exact"/>
        <w:rPr>
          <w:rFonts w:asciiTheme="majorEastAsia" w:hAnsiTheme="majorEastAsia" w:eastAsiaTheme="majorEastAsia"/>
          <w:color w:val="auto"/>
          <w:highlight w:val="none"/>
        </w:rPr>
      </w:pPr>
      <w:bookmarkStart w:id="191" w:name="_Toc72847717"/>
      <w:r>
        <w:rPr>
          <w:rFonts w:asciiTheme="majorEastAsia" w:hAnsiTheme="majorEastAsia" w:eastAsiaTheme="majorEastAsia"/>
          <w:color w:val="auto"/>
          <w:highlight w:val="none"/>
        </w:rPr>
        <w:t>第六章</w:t>
      </w:r>
      <w:r>
        <w:rPr>
          <w:rFonts w:hint="eastAsia" w:asciiTheme="majorEastAsia" w:hAnsiTheme="majorEastAsia" w:eastAsiaTheme="majorEastAsia"/>
          <w:color w:val="auto"/>
          <w:highlight w:val="none"/>
          <w:lang w:val="en-US"/>
        </w:rPr>
        <w:t xml:space="preserve">   </w:t>
      </w:r>
      <w:r>
        <w:rPr>
          <w:rFonts w:asciiTheme="majorEastAsia" w:hAnsiTheme="majorEastAsia" w:eastAsiaTheme="majorEastAsia"/>
          <w:color w:val="auto"/>
          <w:highlight w:val="none"/>
        </w:rPr>
        <w:t>投标文件格式</w:t>
      </w:r>
      <w:bookmarkEnd w:id="188"/>
      <w:bookmarkEnd w:id="191"/>
    </w:p>
    <w:p>
      <w:pPr>
        <w:pStyle w:val="2"/>
        <w:rPr>
          <w:rFonts w:ascii="Microsoft JhengHei"/>
          <w:b/>
          <w:color w:val="auto"/>
          <w:sz w:val="20"/>
          <w:highlight w:val="none"/>
        </w:rPr>
      </w:pPr>
    </w:p>
    <w:p>
      <w:pPr>
        <w:pStyle w:val="2"/>
        <w:rPr>
          <w:rFonts w:ascii="Microsoft JhengHei"/>
          <w:b/>
          <w:color w:val="auto"/>
          <w:sz w:val="20"/>
          <w:highlight w:val="none"/>
        </w:rPr>
      </w:pPr>
    </w:p>
    <w:p>
      <w:pPr>
        <w:pStyle w:val="2"/>
        <w:spacing w:before="8"/>
        <w:rPr>
          <w:rFonts w:ascii="Microsoft JhengHei"/>
          <w:b/>
          <w:color w:val="auto"/>
          <w:sz w:val="20"/>
          <w:highlight w:val="none"/>
        </w:rPr>
      </w:pPr>
    </w:p>
    <w:p>
      <w:pPr>
        <w:tabs>
          <w:tab w:val="left" w:pos="1118"/>
        </w:tabs>
        <w:spacing w:before="70"/>
        <w:ind w:right="453"/>
        <w:jc w:val="center"/>
        <w:rPr>
          <w:color w:val="auto"/>
          <w:sz w:val="28"/>
          <w:highlight w:val="none"/>
        </w:rPr>
      </w:pP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r>
        <w:rPr>
          <w:color w:val="auto"/>
          <w:sz w:val="28"/>
          <w:highlight w:val="none"/>
        </w:rPr>
        <w:t>（</w:t>
      </w:r>
      <w:r>
        <w:rPr>
          <w:color w:val="auto"/>
          <w:spacing w:val="-1"/>
          <w:sz w:val="28"/>
          <w:highlight w:val="none"/>
        </w:rPr>
        <w:t>项目名称</w:t>
      </w:r>
      <w:r>
        <w:rPr>
          <w:color w:val="auto"/>
          <w:sz w:val="28"/>
          <w:highlight w:val="none"/>
        </w:rPr>
        <w:t>）</w:t>
      </w:r>
    </w:p>
    <w:p>
      <w:pPr>
        <w:pStyle w:val="2"/>
        <w:rPr>
          <w:color w:val="auto"/>
          <w:sz w:val="20"/>
          <w:highlight w:val="none"/>
        </w:rPr>
      </w:pPr>
    </w:p>
    <w:p>
      <w:pPr>
        <w:spacing w:before="209"/>
        <w:ind w:right="455"/>
        <w:jc w:val="center"/>
        <w:rPr>
          <w:color w:val="auto"/>
          <w:sz w:val="44"/>
          <w:highlight w:val="none"/>
        </w:rPr>
      </w:pPr>
      <w:bookmarkStart w:id="192" w:name="_Toc2987_WPSOffice_Level1"/>
      <w:bookmarkStart w:id="193" w:name="_Toc10350_WPSOffice_Level1"/>
      <w:r>
        <w:rPr>
          <w:color w:val="auto"/>
          <w:sz w:val="44"/>
          <w:highlight w:val="none"/>
        </w:rPr>
        <w:t>投 标 文 件</w:t>
      </w:r>
      <w:bookmarkEnd w:id="192"/>
      <w:bookmarkEnd w:id="193"/>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rPr>
          <w:color w:val="auto"/>
          <w:sz w:val="44"/>
          <w:highlight w:val="none"/>
        </w:rPr>
      </w:pPr>
    </w:p>
    <w:p>
      <w:pPr>
        <w:pStyle w:val="2"/>
        <w:spacing w:before="6"/>
        <w:rPr>
          <w:color w:val="auto"/>
          <w:sz w:val="39"/>
          <w:highlight w:val="none"/>
        </w:rPr>
      </w:pPr>
    </w:p>
    <w:p>
      <w:pPr>
        <w:tabs>
          <w:tab w:val="left" w:pos="5737"/>
          <w:tab w:val="left" w:pos="7102"/>
        </w:tabs>
        <w:spacing w:line="364" w:lineRule="auto"/>
        <w:ind w:right="795"/>
        <w:rPr>
          <w:color w:val="auto"/>
          <w:spacing w:val="-16"/>
          <w:sz w:val="28"/>
          <w:highlight w:val="none"/>
        </w:rPr>
      </w:pPr>
      <w:bookmarkStart w:id="194" w:name="_Toc23265_WPSOffice_Level1"/>
      <w:bookmarkStart w:id="195" w:name="_Toc29540_WPSOffice_Level1"/>
      <w:r>
        <w:rPr>
          <w:color w:val="auto"/>
          <w:sz w:val="28"/>
          <w:highlight w:val="none"/>
        </w:rPr>
        <w:t>投标人：</w:t>
      </w:r>
      <w:r>
        <w:rPr>
          <w:color w:val="auto"/>
          <w:sz w:val="28"/>
          <w:highlight w:val="none"/>
          <w:u w:val="single"/>
        </w:rPr>
        <w:tab/>
      </w:r>
      <w:r>
        <w:rPr>
          <w:color w:val="auto"/>
          <w:sz w:val="28"/>
          <w:highlight w:val="none"/>
        </w:rPr>
        <w:t>（盖</w:t>
      </w:r>
      <w:r>
        <w:rPr>
          <w:color w:val="auto"/>
          <w:spacing w:val="-3"/>
          <w:sz w:val="28"/>
          <w:highlight w:val="none"/>
        </w:rPr>
        <w:t>单</w:t>
      </w:r>
      <w:r>
        <w:rPr>
          <w:color w:val="auto"/>
          <w:sz w:val="28"/>
          <w:highlight w:val="none"/>
        </w:rPr>
        <w:t>位</w:t>
      </w:r>
      <w:r>
        <w:rPr>
          <w:color w:val="auto"/>
          <w:spacing w:val="-3"/>
          <w:sz w:val="28"/>
          <w:highlight w:val="none"/>
        </w:rPr>
        <w:t>章</w:t>
      </w:r>
      <w:r>
        <w:rPr>
          <w:color w:val="auto"/>
          <w:spacing w:val="-16"/>
          <w:sz w:val="28"/>
          <w:highlight w:val="none"/>
        </w:rPr>
        <w:t xml:space="preserve">） </w:t>
      </w:r>
    </w:p>
    <w:p>
      <w:pPr>
        <w:tabs>
          <w:tab w:val="left" w:pos="5737"/>
          <w:tab w:val="left" w:pos="7102"/>
        </w:tabs>
        <w:spacing w:line="364" w:lineRule="auto"/>
        <w:ind w:right="795"/>
        <w:rPr>
          <w:color w:val="auto"/>
          <w:sz w:val="28"/>
          <w:highlight w:val="none"/>
        </w:rPr>
      </w:pPr>
      <w:r>
        <w:rPr>
          <w:color w:val="auto"/>
          <w:sz w:val="28"/>
          <w:highlight w:val="none"/>
        </w:rPr>
        <w:t>法定代</w:t>
      </w:r>
      <w:r>
        <w:rPr>
          <w:color w:val="auto"/>
          <w:spacing w:val="-3"/>
          <w:sz w:val="28"/>
          <w:highlight w:val="none"/>
        </w:rPr>
        <w:t>表</w:t>
      </w:r>
      <w:r>
        <w:rPr>
          <w:color w:val="auto"/>
          <w:sz w:val="28"/>
          <w:highlight w:val="none"/>
        </w:rPr>
        <w:t>人或</w:t>
      </w:r>
      <w:r>
        <w:rPr>
          <w:color w:val="auto"/>
          <w:spacing w:val="-3"/>
          <w:sz w:val="28"/>
          <w:highlight w:val="none"/>
        </w:rPr>
        <w:t>其委</w:t>
      </w:r>
      <w:r>
        <w:rPr>
          <w:color w:val="auto"/>
          <w:sz w:val="28"/>
          <w:highlight w:val="none"/>
        </w:rPr>
        <w:t>托代理</w:t>
      </w:r>
      <w:r>
        <w:rPr>
          <w:color w:val="auto"/>
          <w:spacing w:val="-3"/>
          <w:sz w:val="28"/>
          <w:highlight w:val="none"/>
        </w:rPr>
        <w:t>人</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pacing w:val="-3"/>
          <w:sz w:val="28"/>
          <w:highlight w:val="none"/>
        </w:rPr>
        <w:t>（</w:t>
      </w:r>
      <w:r>
        <w:rPr>
          <w:color w:val="auto"/>
          <w:sz w:val="28"/>
          <w:highlight w:val="none"/>
        </w:rPr>
        <w:t>签字）</w:t>
      </w:r>
      <w:bookmarkEnd w:id="194"/>
      <w:bookmarkEnd w:id="195"/>
    </w:p>
    <w:p>
      <w:pPr>
        <w:pStyle w:val="2"/>
        <w:spacing w:before="8"/>
        <w:rPr>
          <w:color w:val="auto"/>
          <w:sz w:val="23"/>
          <w:highlight w:val="none"/>
        </w:rPr>
      </w:pPr>
    </w:p>
    <w:p>
      <w:pPr>
        <w:tabs>
          <w:tab w:val="left" w:pos="734"/>
          <w:tab w:val="left" w:pos="1749"/>
          <w:tab w:val="left" w:pos="2765"/>
        </w:tabs>
        <w:spacing w:before="61"/>
        <w:ind w:right="459"/>
        <w:jc w:val="center"/>
        <w:rPr>
          <w:color w:val="auto"/>
          <w:sz w:val="28"/>
          <w:highlight w:val="none"/>
        </w:rPr>
      </w:pP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r>
        <w:rPr>
          <w:color w:val="auto"/>
          <w:sz w:val="28"/>
          <w:highlight w:val="none"/>
        </w:rPr>
        <w:t>年</w:t>
      </w:r>
      <w:r>
        <w:rPr>
          <w:color w:val="auto"/>
          <w:sz w:val="28"/>
          <w:highlight w:val="none"/>
          <w:u w:val="single"/>
        </w:rPr>
        <w:t xml:space="preserve"> </w:t>
      </w:r>
      <w:r>
        <w:rPr>
          <w:color w:val="auto"/>
          <w:sz w:val="28"/>
          <w:highlight w:val="none"/>
          <w:u w:val="single"/>
        </w:rPr>
        <w:tab/>
      </w:r>
      <w:r>
        <w:rPr>
          <w:color w:val="auto"/>
          <w:sz w:val="28"/>
          <w:highlight w:val="none"/>
        </w:rPr>
        <w:t>月</w:t>
      </w:r>
      <w:r>
        <w:rPr>
          <w:color w:val="auto"/>
          <w:sz w:val="28"/>
          <w:highlight w:val="none"/>
          <w:u w:val="single"/>
        </w:rPr>
        <w:t xml:space="preserve"> </w:t>
      </w:r>
      <w:r>
        <w:rPr>
          <w:color w:val="auto"/>
          <w:sz w:val="28"/>
          <w:highlight w:val="none"/>
          <w:u w:val="single"/>
        </w:rPr>
        <w:tab/>
      </w:r>
      <w:r>
        <w:rPr>
          <w:color w:val="auto"/>
          <w:sz w:val="28"/>
          <w:highlight w:val="none"/>
        </w:rPr>
        <w:t>日</w:t>
      </w:r>
    </w:p>
    <w:p>
      <w:pPr>
        <w:tabs>
          <w:tab w:val="left" w:pos="734"/>
          <w:tab w:val="left" w:pos="1749"/>
          <w:tab w:val="left" w:pos="2765"/>
        </w:tabs>
        <w:spacing w:before="61"/>
        <w:ind w:right="459"/>
        <w:jc w:val="center"/>
        <w:rPr>
          <w:color w:val="auto"/>
          <w:sz w:val="28"/>
          <w:highlight w:val="none"/>
        </w:rPr>
      </w:pPr>
    </w:p>
    <w:p>
      <w:pPr>
        <w:widowControl/>
        <w:autoSpaceDE/>
        <w:autoSpaceDN/>
        <w:rPr>
          <w:rFonts w:ascii="Microsoft JhengHei" w:hAnsi="Microsoft JhengHei" w:eastAsia="Microsoft JhengHei" w:cs="Microsoft JhengHei"/>
          <w:b/>
          <w:bCs/>
          <w:color w:val="auto"/>
          <w:sz w:val="32"/>
          <w:szCs w:val="32"/>
          <w:highlight w:val="none"/>
        </w:rPr>
      </w:pPr>
      <w:bookmarkStart w:id="196" w:name="_Toc28655_WPSOffice_Level1"/>
      <w:bookmarkStart w:id="197" w:name="_Toc13292_WPSOffice_Level1"/>
      <w:r>
        <w:rPr>
          <w:color w:val="auto"/>
          <w:highlight w:val="none"/>
        </w:rPr>
        <w:br w:type="page"/>
      </w:r>
    </w:p>
    <w:p>
      <w:pPr>
        <w:pStyle w:val="4"/>
        <w:spacing w:line="525" w:lineRule="exact"/>
        <w:ind w:left="0" w:right="457" w:firstLine="0"/>
        <w:jc w:val="center"/>
        <w:rPr>
          <w:color w:val="auto"/>
          <w:highlight w:val="none"/>
        </w:rPr>
      </w:pPr>
      <w:r>
        <w:rPr>
          <w:color w:val="auto"/>
          <w:highlight w:val="none"/>
        </w:rPr>
        <w:t>目</w:t>
      </w:r>
      <w:r>
        <w:rPr>
          <w:rFonts w:hint="eastAsia" w:eastAsia="宋体"/>
          <w:color w:val="auto"/>
          <w:highlight w:val="none"/>
          <w:lang w:val="en-US"/>
        </w:rPr>
        <w:t xml:space="preserve">    </w:t>
      </w:r>
      <w:r>
        <w:rPr>
          <w:color w:val="auto"/>
          <w:highlight w:val="none"/>
        </w:rPr>
        <w:t>录</w:t>
      </w:r>
      <w:bookmarkEnd w:id="196"/>
      <w:bookmarkEnd w:id="197"/>
    </w:p>
    <w:p>
      <w:pPr>
        <w:pStyle w:val="2"/>
        <w:spacing w:before="1"/>
        <w:rPr>
          <w:rFonts w:ascii="Microsoft JhengHei"/>
          <w:b/>
          <w:color w:val="auto"/>
          <w:sz w:val="24"/>
          <w:highlight w:val="none"/>
        </w:rPr>
      </w:pPr>
    </w:p>
    <w:p>
      <w:pPr>
        <w:spacing w:line="480" w:lineRule="exact"/>
        <w:ind w:left="594" w:leftChars="270"/>
        <w:rPr>
          <w:color w:val="auto"/>
          <w:szCs w:val="21"/>
          <w:highlight w:val="none"/>
        </w:rPr>
      </w:pPr>
      <w:bookmarkStart w:id="198" w:name="_Toc26148_WPSOffice_Level1"/>
      <w:bookmarkStart w:id="199" w:name="_Toc10881_WPSOffice_Level1"/>
      <w:r>
        <w:rPr>
          <w:color w:val="auto"/>
          <w:szCs w:val="21"/>
          <w:highlight w:val="none"/>
        </w:rPr>
        <w:t>一、投标函</w:t>
      </w:r>
    </w:p>
    <w:p>
      <w:pPr>
        <w:spacing w:line="480" w:lineRule="exact"/>
        <w:ind w:left="741" w:leftChars="256" w:hanging="178"/>
        <w:rPr>
          <w:color w:val="auto"/>
          <w:szCs w:val="21"/>
          <w:highlight w:val="none"/>
        </w:rPr>
      </w:pPr>
      <w:r>
        <w:rPr>
          <w:color w:val="auto"/>
          <w:szCs w:val="21"/>
          <w:highlight w:val="none"/>
        </w:rPr>
        <w:t>二、法定代表人身份证明</w:t>
      </w:r>
    </w:p>
    <w:p>
      <w:pPr>
        <w:tabs>
          <w:tab w:val="left" w:pos="1260"/>
        </w:tabs>
        <w:spacing w:line="480" w:lineRule="exact"/>
        <w:ind w:left="741" w:leftChars="256" w:hanging="178"/>
        <w:rPr>
          <w:color w:val="auto"/>
          <w:szCs w:val="21"/>
          <w:highlight w:val="none"/>
        </w:rPr>
      </w:pPr>
      <w:r>
        <w:rPr>
          <w:color w:val="auto"/>
          <w:szCs w:val="21"/>
          <w:highlight w:val="none"/>
        </w:rPr>
        <w:t>三、授权委托书</w:t>
      </w:r>
    </w:p>
    <w:p>
      <w:pPr>
        <w:tabs>
          <w:tab w:val="left" w:pos="1260"/>
        </w:tabs>
        <w:spacing w:line="480" w:lineRule="exact"/>
        <w:ind w:left="741" w:leftChars="256" w:hanging="178"/>
        <w:rPr>
          <w:color w:val="auto"/>
          <w:szCs w:val="21"/>
          <w:highlight w:val="none"/>
        </w:rPr>
      </w:pPr>
      <w:r>
        <w:rPr>
          <w:color w:val="auto"/>
          <w:szCs w:val="21"/>
          <w:highlight w:val="none"/>
        </w:rPr>
        <w:t>四、投标人基本情况表</w:t>
      </w:r>
    </w:p>
    <w:p>
      <w:pPr>
        <w:spacing w:line="480" w:lineRule="exact"/>
        <w:ind w:left="594" w:leftChars="270"/>
        <w:rPr>
          <w:color w:val="auto"/>
          <w:szCs w:val="21"/>
          <w:highlight w:val="none"/>
        </w:rPr>
      </w:pPr>
      <w:r>
        <w:rPr>
          <w:color w:val="auto"/>
          <w:szCs w:val="21"/>
          <w:highlight w:val="none"/>
        </w:rPr>
        <w:t>五、</w:t>
      </w:r>
      <w:r>
        <w:rPr>
          <w:rFonts w:hint="eastAsia"/>
          <w:color w:val="auto"/>
          <w:szCs w:val="21"/>
          <w:highlight w:val="none"/>
        </w:rPr>
        <w:t>承担过的类似项目业绩一览表</w:t>
      </w:r>
    </w:p>
    <w:p>
      <w:pPr>
        <w:spacing w:line="480" w:lineRule="exact"/>
        <w:ind w:left="594" w:leftChars="270"/>
        <w:rPr>
          <w:color w:val="auto"/>
          <w:szCs w:val="21"/>
          <w:highlight w:val="none"/>
        </w:rPr>
      </w:pPr>
      <w:r>
        <w:rPr>
          <w:rFonts w:hint="eastAsia"/>
          <w:color w:val="auto"/>
          <w:szCs w:val="21"/>
          <w:highlight w:val="none"/>
        </w:rPr>
        <w:t>六、项目管理机构</w:t>
      </w:r>
    </w:p>
    <w:p>
      <w:pPr>
        <w:spacing w:line="480" w:lineRule="exact"/>
        <w:ind w:left="594" w:leftChars="270"/>
        <w:rPr>
          <w:color w:val="auto"/>
          <w:szCs w:val="21"/>
          <w:highlight w:val="none"/>
        </w:rPr>
      </w:pPr>
      <w:r>
        <w:rPr>
          <w:rFonts w:hint="eastAsia"/>
          <w:color w:val="auto"/>
          <w:szCs w:val="21"/>
          <w:highlight w:val="none"/>
          <w:lang w:val="en-US"/>
        </w:rPr>
        <w:t>七</w:t>
      </w:r>
      <w:r>
        <w:rPr>
          <w:color w:val="auto"/>
          <w:szCs w:val="21"/>
          <w:highlight w:val="none"/>
        </w:rPr>
        <w:t>、</w:t>
      </w:r>
      <w:r>
        <w:rPr>
          <w:rFonts w:hint="eastAsia"/>
          <w:color w:val="auto"/>
          <w:szCs w:val="21"/>
          <w:highlight w:val="none"/>
          <w:lang w:val="en-US"/>
        </w:rPr>
        <w:t>服务方案</w:t>
      </w:r>
    </w:p>
    <w:p>
      <w:pPr>
        <w:spacing w:line="480" w:lineRule="exact"/>
        <w:ind w:left="594" w:leftChars="270"/>
        <w:rPr>
          <w:color w:val="auto"/>
          <w:szCs w:val="21"/>
          <w:highlight w:val="none"/>
          <w:lang w:val="en-US"/>
        </w:rPr>
      </w:pPr>
      <w:r>
        <w:rPr>
          <w:rFonts w:hint="eastAsia"/>
          <w:color w:val="auto"/>
          <w:szCs w:val="21"/>
          <w:highlight w:val="none"/>
        </w:rPr>
        <w:t>八</w:t>
      </w:r>
      <w:r>
        <w:rPr>
          <w:color w:val="auto"/>
          <w:szCs w:val="21"/>
          <w:highlight w:val="none"/>
        </w:rPr>
        <w:t>、</w:t>
      </w:r>
      <w:r>
        <w:rPr>
          <w:rFonts w:hint="eastAsia"/>
          <w:color w:val="auto"/>
          <w:szCs w:val="21"/>
          <w:highlight w:val="none"/>
        </w:rPr>
        <w:t>投标保证金</w:t>
      </w:r>
    </w:p>
    <w:p>
      <w:pPr>
        <w:spacing w:line="480" w:lineRule="exact"/>
        <w:ind w:left="594" w:leftChars="270"/>
        <w:rPr>
          <w:color w:val="auto"/>
          <w:szCs w:val="21"/>
          <w:highlight w:val="none"/>
        </w:rPr>
      </w:pPr>
      <w:r>
        <w:rPr>
          <w:rFonts w:hint="eastAsia"/>
          <w:color w:val="auto"/>
          <w:szCs w:val="21"/>
          <w:highlight w:val="none"/>
        </w:rPr>
        <w:t>九、招标文件要求的其他材料</w:t>
      </w:r>
    </w:p>
    <w:p>
      <w:pPr>
        <w:spacing w:line="480" w:lineRule="exact"/>
        <w:rPr>
          <w:color w:val="auto"/>
          <w:szCs w:val="21"/>
          <w:highlight w:val="none"/>
        </w:rPr>
      </w:pPr>
    </w:p>
    <w:p>
      <w:pPr>
        <w:spacing w:line="525" w:lineRule="exact"/>
        <w:ind w:right="456"/>
        <w:jc w:val="both"/>
        <w:rPr>
          <w:color w:val="auto"/>
          <w:szCs w:val="21"/>
          <w:highlight w:val="none"/>
        </w:rPr>
      </w:pPr>
      <w:r>
        <w:rPr>
          <w:rFonts w:hint="eastAsia"/>
          <w:color w:val="auto"/>
          <w:szCs w:val="21"/>
          <w:highlight w:val="none"/>
        </w:rPr>
        <w:t>注：投标人投标文件内容至少应包括以上方面内容。</w:t>
      </w:r>
    </w:p>
    <w:p>
      <w:pPr>
        <w:rPr>
          <w:color w:val="auto"/>
          <w:szCs w:val="21"/>
          <w:highlight w:val="none"/>
        </w:rPr>
      </w:pPr>
      <w:r>
        <w:rPr>
          <w:rFonts w:hint="eastAsia"/>
          <w:color w:val="auto"/>
          <w:szCs w:val="21"/>
          <w:highlight w:val="none"/>
        </w:rPr>
        <w:br w:type="page"/>
      </w:r>
    </w:p>
    <w:p>
      <w:pPr>
        <w:spacing w:line="525" w:lineRule="exact"/>
        <w:ind w:right="456"/>
        <w:jc w:val="center"/>
        <w:rPr>
          <w:b/>
          <w:bCs/>
          <w:color w:val="auto"/>
          <w:sz w:val="32"/>
          <w:szCs w:val="21"/>
          <w:highlight w:val="none"/>
        </w:rPr>
      </w:pPr>
      <w:r>
        <w:rPr>
          <w:rFonts w:hint="eastAsia"/>
          <w:b/>
          <w:bCs/>
          <w:color w:val="auto"/>
          <w:sz w:val="32"/>
          <w:szCs w:val="21"/>
          <w:highlight w:val="none"/>
        </w:rPr>
        <w:t>一、投标函及投标函附录</w:t>
      </w:r>
      <w:bookmarkEnd w:id="198"/>
      <w:bookmarkEnd w:id="199"/>
    </w:p>
    <w:p>
      <w:pPr>
        <w:pStyle w:val="2"/>
        <w:spacing w:before="6"/>
        <w:rPr>
          <w:rFonts w:ascii="Microsoft JhengHei"/>
          <w:b/>
          <w:color w:val="auto"/>
          <w:sz w:val="23"/>
          <w:highlight w:val="none"/>
        </w:rPr>
      </w:pPr>
    </w:p>
    <w:p>
      <w:pPr>
        <w:spacing w:before="62"/>
        <w:ind w:left="377"/>
        <w:jc w:val="center"/>
        <w:rPr>
          <w:color w:val="auto"/>
          <w:sz w:val="28"/>
          <w:highlight w:val="none"/>
        </w:rPr>
      </w:pPr>
      <w:bookmarkStart w:id="200" w:name="_Toc13492_WPSOffice_Level2"/>
      <w:r>
        <w:rPr>
          <w:color w:val="auto"/>
          <w:sz w:val="28"/>
          <w:highlight w:val="none"/>
        </w:rPr>
        <w:t>（一）投标函</w:t>
      </w:r>
      <w:bookmarkEnd w:id="200"/>
    </w:p>
    <w:p>
      <w:pPr>
        <w:spacing w:line="360" w:lineRule="auto"/>
        <w:rPr>
          <w:color w:val="auto"/>
          <w:szCs w:val="21"/>
          <w:highlight w:val="none"/>
        </w:rPr>
      </w:pPr>
      <w:bookmarkStart w:id="201" w:name="_Toc13391_WPSOffice_Level1"/>
      <w:bookmarkStart w:id="202" w:name="_Toc27417_WPSOffice_Level1"/>
      <w:r>
        <w:rPr>
          <w:color w:val="auto"/>
          <w:szCs w:val="21"/>
          <w:highlight w:val="none"/>
          <w:u w:val="single"/>
          <w:lang w:val="en-US"/>
        </w:rPr>
        <w:t xml:space="preserve">               </w:t>
      </w:r>
      <w:r>
        <w:rPr>
          <w:rFonts w:hint="eastAsia"/>
          <w:color w:val="auto"/>
          <w:szCs w:val="21"/>
          <w:highlight w:val="none"/>
        </w:rPr>
        <w:t>（招标人名称）：</w:t>
      </w:r>
    </w:p>
    <w:p>
      <w:pPr>
        <w:spacing w:line="360" w:lineRule="auto"/>
        <w:ind w:firstLine="440" w:firstLineChars="200"/>
        <w:rPr>
          <w:color w:val="auto"/>
          <w:szCs w:val="21"/>
          <w:highlight w:val="none"/>
          <w:u w:val="single"/>
        </w:rPr>
      </w:pPr>
      <w:r>
        <w:rPr>
          <w:color w:val="auto"/>
          <w:szCs w:val="21"/>
          <w:highlight w:val="none"/>
        </w:rPr>
        <w:t>1．我方已仔细研究了</w:t>
      </w:r>
      <w:r>
        <w:rPr>
          <w:color w:val="auto"/>
          <w:szCs w:val="21"/>
          <w:highlight w:val="none"/>
          <w:u w:val="single"/>
        </w:rPr>
        <w:t>（项目名称）</w:t>
      </w:r>
      <w:r>
        <w:rPr>
          <w:rFonts w:hint="eastAsia"/>
          <w:color w:val="auto"/>
          <w:szCs w:val="21"/>
          <w:highlight w:val="none"/>
          <w:u w:val="single"/>
          <w:lang w:val="en-US"/>
        </w:rPr>
        <w:t xml:space="preserve">  </w:t>
      </w:r>
      <w:r>
        <w:rPr>
          <w:color w:val="auto"/>
          <w:szCs w:val="21"/>
          <w:highlight w:val="none"/>
        </w:rPr>
        <w:t>招标文件的全部内容，</w:t>
      </w:r>
      <w:r>
        <w:rPr>
          <w:rFonts w:hint="eastAsia"/>
          <w:color w:val="auto"/>
          <w:szCs w:val="21"/>
          <w:highlight w:val="none"/>
          <w:lang w:val="en-US"/>
        </w:rPr>
        <w:t>愿意以人民币含税价</w:t>
      </w:r>
      <w:r>
        <w:rPr>
          <w:color w:val="auto"/>
          <w:szCs w:val="21"/>
          <w:highlight w:val="none"/>
          <w:u w:val="single"/>
          <w:lang w:val="en-US"/>
        </w:rPr>
        <w:t xml:space="preserve">   </w:t>
      </w:r>
      <w:r>
        <w:rPr>
          <w:rFonts w:hint="eastAsia"/>
          <w:color w:val="auto"/>
          <w:szCs w:val="21"/>
          <w:highlight w:val="none"/>
          <w:lang w:val="en-US"/>
        </w:rPr>
        <w:t>元作为投标报价，</w:t>
      </w:r>
      <w:r>
        <w:rPr>
          <w:color w:val="auto"/>
          <w:szCs w:val="21"/>
          <w:highlight w:val="none"/>
        </w:rPr>
        <w:t>按招标文件规定和合同约定实施和完成</w:t>
      </w:r>
      <w:r>
        <w:rPr>
          <w:rFonts w:hint="eastAsia"/>
          <w:color w:val="auto"/>
          <w:szCs w:val="21"/>
          <w:highlight w:val="none"/>
        </w:rPr>
        <w:t>相关</w:t>
      </w:r>
      <w:r>
        <w:rPr>
          <w:color w:val="auto"/>
          <w:szCs w:val="21"/>
          <w:highlight w:val="none"/>
        </w:rPr>
        <w:t>工作。</w:t>
      </w:r>
      <w:r>
        <w:rPr>
          <w:rFonts w:hint="eastAsia"/>
          <w:color w:val="auto"/>
          <w:szCs w:val="21"/>
          <w:highlight w:val="none"/>
          <w:lang w:val="en-US"/>
        </w:rPr>
        <w:t>服务期限</w:t>
      </w:r>
      <w:r>
        <w:rPr>
          <w:rFonts w:hint="eastAsia"/>
          <w:color w:val="auto"/>
          <w:szCs w:val="21"/>
          <w:highlight w:val="none"/>
        </w:rPr>
        <w:t>：</w:t>
      </w:r>
      <w:r>
        <w:rPr>
          <w:rFonts w:hint="eastAsia"/>
          <w:color w:val="auto"/>
          <w:szCs w:val="21"/>
          <w:highlight w:val="none"/>
          <w:u w:val="single"/>
          <w:lang w:val="en-US"/>
        </w:rPr>
        <w:t xml:space="preserve">     </w:t>
      </w:r>
      <w:r>
        <w:rPr>
          <w:color w:val="auto"/>
          <w:szCs w:val="21"/>
          <w:highlight w:val="none"/>
          <w:u w:val="single"/>
          <w:lang w:val="en-US"/>
        </w:rPr>
        <w:t xml:space="preserve">   </w:t>
      </w:r>
      <w:r>
        <w:rPr>
          <w:rFonts w:hint="eastAsia"/>
          <w:color w:val="auto"/>
          <w:szCs w:val="21"/>
          <w:highlight w:val="none"/>
          <w:u w:val="single"/>
          <w:lang w:val="en-US"/>
        </w:rPr>
        <w:t xml:space="preserve">  </w:t>
      </w:r>
      <w:r>
        <w:rPr>
          <w:rFonts w:hint="eastAsia"/>
          <w:color w:val="auto"/>
          <w:szCs w:val="21"/>
          <w:highlight w:val="none"/>
          <w:lang w:val="en-US"/>
        </w:rPr>
        <w:t>。</w:t>
      </w:r>
    </w:p>
    <w:p>
      <w:pPr>
        <w:spacing w:line="360" w:lineRule="auto"/>
        <w:ind w:firstLine="440" w:firstLineChars="200"/>
        <w:rPr>
          <w:color w:val="auto"/>
          <w:szCs w:val="21"/>
          <w:highlight w:val="none"/>
        </w:rPr>
      </w:pPr>
      <w:r>
        <w:rPr>
          <w:color w:val="auto"/>
          <w:szCs w:val="21"/>
          <w:highlight w:val="none"/>
        </w:rPr>
        <w:t>2．我方对出具的所有资料的真实性负责，如有虚假行为，无条件同意</w:t>
      </w:r>
      <w:r>
        <w:rPr>
          <w:rFonts w:hint="eastAsia"/>
          <w:color w:val="auto"/>
          <w:szCs w:val="21"/>
          <w:highlight w:val="none"/>
        </w:rPr>
        <w:t>招标人</w:t>
      </w:r>
      <w:r>
        <w:rPr>
          <w:color w:val="auto"/>
          <w:szCs w:val="21"/>
          <w:highlight w:val="none"/>
        </w:rPr>
        <w:t>取消我方</w:t>
      </w:r>
      <w:r>
        <w:rPr>
          <w:rFonts w:hint="eastAsia"/>
          <w:color w:val="auto"/>
          <w:szCs w:val="21"/>
          <w:highlight w:val="none"/>
        </w:rPr>
        <w:t>投标</w:t>
      </w:r>
      <w:r>
        <w:rPr>
          <w:color w:val="auto"/>
          <w:szCs w:val="21"/>
          <w:highlight w:val="none"/>
        </w:rPr>
        <w:t>资格。</w:t>
      </w:r>
    </w:p>
    <w:p>
      <w:pPr>
        <w:spacing w:line="360" w:lineRule="auto"/>
        <w:ind w:firstLine="440" w:firstLineChars="200"/>
        <w:rPr>
          <w:color w:val="auto"/>
          <w:szCs w:val="21"/>
          <w:highlight w:val="none"/>
        </w:rPr>
      </w:pPr>
      <w:r>
        <w:rPr>
          <w:color w:val="auto"/>
          <w:szCs w:val="21"/>
          <w:highlight w:val="none"/>
        </w:rPr>
        <w:t>3．如我方中标：</w:t>
      </w:r>
    </w:p>
    <w:p>
      <w:pPr>
        <w:spacing w:line="360" w:lineRule="auto"/>
        <w:ind w:firstLine="440" w:firstLineChars="200"/>
        <w:rPr>
          <w:color w:val="auto"/>
          <w:szCs w:val="21"/>
          <w:highlight w:val="none"/>
        </w:rPr>
      </w:pPr>
      <w:r>
        <w:rPr>
          <w:color w:val="auto"/>
          <w:szCs w:val="21"/>
          <w:highlight w:val="none"/>
        </w:rPr>
        <w:t>(l）我方承诺在收到中标通知书后，在中标通知书规定的期限内与你方签订合同。</w:t>
      </w:r>
    </w:p>
    <w:p>
      <w:pPr>
        <w:spacing w:line="360" w:lineRule="auto"/>
        <w:ind w:firstLine="440" w:firstLineChars="200"/>
        <w:rPr>
          <w:color w:val="auto"/>
          <w:szCs w:val="21"/>
          <w:highlight w:val="none"/>
        </w:rPr>
      </w:pPr>
      <w:r>
        <w:rPr>
          <w:color w:val="auto"/>
          <w:szCs w:val="21"/>
          <w:highlight w:val="none"/>
        </w:rPr>
        <w:t>(2）我方承诺在合同约定的期限内完成并移交全部</w:t>
      </w:r>
      <w:r>
        <w:rPr>
          <w:rFonts w:hint="eastAsia"/>
          <w:color w:val="auto"/>
          <w:szCs w:val="21"/>
          <w:highlight w:val="none"/>
        </w:rPr>
        <w:t>合格成果资料</w:t>
      </w:r>
      <w:r>
        <w:rPr>
          <w:color w:val="auto"/>
          <w:szCs w:val="21"/>
          <w:highlight w:val="none"/>
        </w:rPr>
        <w:t>。</w:t>
      </w:r>
    </w:p>
    <w:p>
      <w:pPr>
        <w:spacing w:line="360" w:lineRule="auto"/>
        <w:ind w:firstLine="440" w:firstLineChars="200"/>
        <w:rPr>
          <w:color w:val="auto"/>
          <w:szCs w:val="21"/>
          <w:highlight w:val="none"/>
        </w:rPr>
      </w:pPr>
      <w:r>
        <w:rPr>
          <w:color w:val="auto"/>
          <w:szCs w:val="21"/>
          <w:highlight w:val="none"/>
        </w:rPr>
        <w:t>4．在正式合同订立之后，本</w:t>
      </w:r>
      <w:r>
        <w:rPr>
          <w:rFonts w:hint="eastAsia"/>
          <w:color w:val="auto"/>
          <w:szCs w:val="21"/>
          <w:highlight w:val="none"/>
        </w:rPr>
        <w:t>投标函</w:t>
      </w:r>
      <w:r>
        <w:rPr>
          <w:color w:val="auto"/>
          <w:szCs w:val="21"/>
          <w:highlight w:val="none"/>
        </w:rPr>
        <w:t>同贵方的招标文件、中标通知书、双方符合招标文件规定的补充和修正文件成为约束双方行为的法律文件。</w:t>
      </w:r>
    </w:p>
    <w:p>
      <w:pPr>
        <w:spacing w:line="360" w:lineRule="auto"/>
        <w:ind w:firstLine="440" w:firstLineChars="200"/>
        <w:rPr>
          <w:b/>
          <w:bCs/>
          <w:color w:val="auto"/>
          <w:szCs w:val="21"/>
          <w:highlight w:val="none"/>
        </w:rPr>
      </w:pPr>
      <w:r>
        <w:rPr>
          <w:rFonts w:hint="eastAsia"/>
          <w:color w:val="auto"/>
          <w:szCs w:val="21"/>
          <w:highlight w:val="none"/>
        </w:rPr>
        <w:t>5</w:t>
      </w:r>
      <w:r>
        <w:rPr>
          <w:color w:val="auto"/>
          <w:szCs w:val="21"/>
          <w:highlight w:val="none"/>
        </w:rPr>
        <w:t>.</w:t>
      </w:r>
      <w:r>
        <w:rPr>
          <w:rFonts w:hint="eastAsia"/>
          <w:color w:val="auto"/>
          <w:sz w:val="21"/>
          <w:szCs w:val="21"/>
          <w:highlight w:val="none"/>
        </w:rPr>
        <w:t xml:space="preserve"> 我方同意遵守本项目投标有效期为 90 日历天的要求（从投标文件递交截止之日起算）。</w:t>
      </w:r>
    </w:p>
    <w:p>
      <w:pPr>
        <w:spacing w:line="360" w:lineRule="auto"/>
        <w:ind w:firstLine="440" w:firstLineChars="200"/>
        <w:rPr>
          <w:color w:val="auto"/>
          <w:szCs w:val="21"/>
          <w:highlight w:val="none"/>
        </w:rPr>
      </w:pPr>
      <w:r>
        <w:rPr>
          <w:color w:val="auto"/>
          <w:szCs w:val="21"/>
          <w:highlight w:val="none"/>
        </w:rPr>
        <w:t>6．（其他补充说明）。</w:t>
      </w:r>
      <w:bookmarkStart w:id="203" w:name="固定单价合同D1"/>
    </w:p>
    <w:bookmarkEnd w:id="203"/>
    <w:p>
      <w:pPr>
        <w:spacing w:line="360" w:lineRule="auto"/>
        <w:rPr>
          <w:color w:val="auto"/>
          <w:szCs w:val="21"/>
          <w:highlight w:val="none"/>
        </w:rPr>
      </w:pPr>
    </w:p>
    <w:p>
      <w:pPr>
        <w:spacing w:line="360" w:lineRule="auto"/>
        <w:ind w:firstLine="4400" w:firstLineChars="2000"/>
        <w:rPr>
          <w:color w:val="auto"/>
          <w:szCs w:val="21"/>
          <w:highlight w:val="none"/>
        </w:rPr>
      </w:pPr>
      <w:r>
        <w:rPr>
          <w:color w:val="auto"/>
          <w:szCs w:val="21"/>
          <w:highlight w:val="none"/>
        </w:rPr>
        <w:t>投标人：</w:t>
      </w:r>
      <w:r>
        <w:rPr>
          <w:rFonts w:hint="eastAsia"/>
          <w:color w:val="auto"/>
          <w:szCs w:val="21"/>
          <w:highlight w:val="none"/>
          <w:u w:val="single"/>
        </w:rPr>
        <w:t xml:space="preserve"> </w:t>
      </w:r>
      <w:r>
        <w:rPr>
          <w:color w:val="auto"/>
          <w:szCs w:val="21"/>
          <w:highlight w:val="none"/>
          <w:u w:val="single"/>
        </w:rPr>
        <w:t xml:space="preserve">           （盖单位章）</w:t>
      </w:r>
      <w:r>
        <w:rPr>
          <w:rFonts w:hint="eastAsia"/>
          <w:color w:val="auto"/>
          <w:szCs w:val="21"/>
          <w:highlight w:val="none"/>
        </w:rPr>
        <w:t xml:space="preserve">   </w:t>
      </w:r>
    </w:p>
    <w:p>
      <w:pPr>
        <w:spacing w:line="360" w:lineRule="auto"/>
        <w:ind w:firstLine="4400" w:firstLineChars="2000"/>
        <w:rPr>
          <w:color w:val="auto"/>
          <w:szCs w:val="21"/>
          <w:highlight w:val="none"/>
        </w:rPr>
      </w:pPr>
      <w:r>
        <w:rPr>
          <w:color w:val="auto"/>
          <w:szCs w:val="21"/>
          <w:highlight w:val="none"/>
        </w:rPr>
        <w:t>法定代表人或其委托代理人：</w:t>
      </w:r>
      <w:r>
        <w:rPr>
          <w:rFonts w:hint="eastAsia"/>
          <w:color w:val="auto"/>
          <w:szCs w:val="21"/>
          <w:highlight w:val="none"/>
          <w:u w:val="single"/>
        </w:rPr>
        <w:t xml:space="preserve"> </w:t>
      </w:r>
      <w:r>
        <w:rPr>
          <w:color w:val="auto"/>
          <w:szCs w:val="21"/>
          <w:highlight w:val="none"/>
          <w:u w:val="single"/>
        </w:rPr>
        <w:t xml:space="preserve"> （签字）</w:t>
      </w:r>
    </w:p>
    <w:p>
      <w:pPr>
        <w:spacing w:line="360" w:lineRule="auto"/>
        <w:ind w:firstLine="6490" w:firstLineChars="2950"/>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widowControl/>
        <w:autoSpaceDE/>
        <w:autoSpaceDN/>
        <w:rPr>
          <w:rFonts w:ascii="Microsoft JhengHei" w:eastAsiaTheme="minorEastAsia"/>
          <w:b/>
          <w:color w:val="auto"/>
          <w:sz w:val="32"/>
          <w:highlight w:val="none"/>
        </w:rPr>
      </w:pPr>
      <w:r>
        <w:rPr>
          <w:rFonts w:ascii="Microsoft JhengHei" w:eastAsia="Microsoft JhengHei"/>
          <w:b/>
          <w:color w:val="auto"/>
          <w:sz w:val="32"/>
          <w:highlight w:val="none"/>
        </w:rPr>
        <w:br w:type="page"/>
      </w:r>
    </w:p>
    <w:p>
      <w:pPr>
        <w:pStyle w:val="2"/>
        <w:rPr>
          <w:color w:val="auto"/>
          <w:highlight w:val="none"/>
        </w:rPr>
      </w:pPr>
    </w:p>
    <w:p>
      <w:pPr>
        <w:pStyle w:val="2"/>
        <w:rPr>
          <w:color w:val="auto"/>
          <w:highlight w:val="none"/>
        </w:rPr>
      </w:pPr>
      <w:r>
        <w:rPr>
          <w:rFonts w:hint="eastAsia"/>
          <w:color w:val="auto"/>
          <w:highlight w:val="none"/>
        </w:rPr>
        <w:t>报价清单：</w:t>
      </w:r>
    </w:p>
    <w:p>
      <w:pPr>
        <w:pStyle w:val="2"/>
        <w:rPr>
          <w:color w:val="auto"/>
          <w:highlight w:val="none"/>
        </w:rPr>
      </w:pPr>
    </w:p>
    <w:tbl>
      <w:tblPr>
        <w:tblStyle w:val="2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133"/>
        <w:gridCol w:w="1550"/>
        <w:gridCol w:w="700"/>
        <w:gridCol w:w="1583"/>
        <w:gridCol w:w="143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rPr>
            </w:pPr>
          </w:p>
        </w:tc>
        <w:tc>
          <w:tcPr>
            <w:tcW w:w="1133" w:type="dxa"/>
          </w:tcPr>
          <w:p>
            <w:pPr>
              <w:pStyle w:val="2"/>
              <w:jc w:val="center"/>
              <w:rPr>
                <w:color w:val="auto"/>
                <w:highlight w:val="none"/>
              </w:rPr>
            </w:pPr>
          </w:p>
        </w:tc>
        <w:tc>
          <w:tcPr>
            <w:tcW w:w="1550" w:type="dxa"/>
            <w:vAlign w:val="center"/>
          </w:tcPr>
          <w:p>
            <w:pPr>
              <w:pStyle w:val="2"/>
              <w:jc w:val="center"/>
              <w:rPr>
                <w:color w:val="auto"/>
                <w:highlight w:val="none"/>
                <w:lang w:val="en-US"/>
              </w:rPr>
            </w:pPr>
            <w:r>
              <w:rPr>
                <w:rFonts w:hint="eastAsia"/>
                <w:color w:val="auto"/>
                <w:highlight w:val="none"/>
                <w:lang w:val="en-US"/>
              </w:rPr>
              <w:t>岗位</w:t>
            </w:r>
          </w:p>
        </w:tc>
        <w:tc>
          <w:tcPr>
            <w:tcW w:w="700" w:type="dxa"/>
            <w:vAlign w:val="center"/>
          </w:tcPr>
          <w:p>
            <w:pPr>
              <w:pStyle w:val="2"/>
              <w:jc w:val="center"/>
              <w:rPr>
                <w:color w:val="auto"/>
                <w:highlight w:val="none"/>
                <w:lang w:val="en-US"/>
              </w:rPr>
            </w:pPr>
            <w:r>
              <w:rPr>
                <w:rFonts w:hint="eastAsia"/>
                <w:color w:val="auto"/>
                <w:highlight w:val="none"/>
                <w:lang w:val="en-US"/>
              </w:rPr>
              <w:t>人数</w:t>
            </w:r>
          </w:p>
        </w:tc>
        <w:tc>
          <w:tcPr>
            <w:tcW w:w="1583" w:type="dxa"/>
            <w:vAlign w:val="center"/>
          </w:tcPr>
          <w:p>
            <w:pPr>
              <w:pStyle w:val="2"/>
              <w:jc w:val="center"/>
              <w:rPr>
                <w:color w:val="auto"/>
                <w:highlight w:val="none"/>
                <w:lang w:val="en-US"/>
              </w:rPr>
            </w:pPr>
            <w:r>
              <w:rPr>
                <w:rFonts w:hint="eastAsia"/>
                <w:color w:val="auto"/>
                <w:highlight w:val="none"/>
                <w:lang w:val="en-US"/>
              </w:rPr>
              <w:t>工资（元/月）</w:t>
            </w:r>
          </w:p>
        </w:tc>
        <w:tc>
          <w:tcPr>
            <w:tcW w:w="1434" w:type="dxa"/>
            <w:vAlign w:val="center"/>
          </w:tcPr>
          <w:p>
            <w:pPr>
              <w:pStyle w:val="2"/>
              <w:jc w:val="center"/>
              <w:rPr>
                <w:color w:val="auto"/>
                <w:highlight w:val="none"/>
                <w:lang w:val="en-US"/>
              </w:rPr>
            </w:pPr>
            <w:r>
              <w:rPr>
                <w:rFonts w:hint="eastAsia"/>
                <w:color w:val="auto"/>
                <w:highlight w:val="none"/>
                <w:lang w:val="en-US"/>
              </w:rPr>
              <w:t>全年合计（12个月）</w:t>
            </w:r>
          </w:p>
        </w:tc>
        <w:tc>
          <w:tcPr>
            <w:tcW w:w="2000" w:type="dxa"/>
            <w:vAlign w:val="center"/>
          </w:tcPr>
          <w:p>
            <w:pPr>
              <w:pStyle w:val="2"/>
              <w:ind w:firstLine="630" w:firstLineChars="300"/>
              <w:jc w:val="center"/>
              <w:rPr>
                <w:color w:val="auto"/>
                <w:highlight w:val="none"/>
                <w:lang w:val="en-US"/>
              </w:rPr>
            </w:pPr>
            <w:r>
              <w:rPr>
                <w:rFonts w:hint="eastAsia"/>
                <w:color w:val="auto"/>
                <w:highlight w:val="none"/>
                <w:lang w:val="en-US"/>
              </w:rPr>
              <w:t>备注</w:t>
            </w:r>
          </w:p>
        </w:tc>
      </w:tr>
      <w:tr>
        <w:tc>
          <w:tcPr>
            <w:tcW w:w="390" w:type="dxa"/>
            <w:vMerge w:val="restart"/>
          </w:tcPr>
          <w:p>
            <w:pPr>
              <w:pStyle w:val="2"/>
              <w:jc w:val="center"/>
              <w:rPr>
                <w:color w:val="auto"/>
                <w:highlight w:val="none"/>
                <w:lang w:val="en-US"/>
              </w:rPr>
            </w:pPr>
          </w:p>
          <w:p>
            <w:pPr>
              <w:pStyle w:val="2"/>
              <w:jc w:val="center"/>
              <w:rPr>
                <w:color w:val="auto"/>
                <w:highlight w:val="none"/>
                <w:lang w:val="en-US"/>
              </w:rPr>
            </w:pPr>
          </w:p>
          <w:p>
            <w:pPr>
              <w:pStyle w:val="2"/>
              <w:jc w:val="center"/>
              <w:rPr>
                <w:color w:val="auto"/>
                <w:highlight w:val="none"/>
                <w:lang w:val="en-US"/>
              </w:rPr>
            </w:pPr>
          </w:p>
          <w:p>
            <w:pPr>
              <w:pStyle w:val="2"/>
              <w:jc w:val="center"/>
              <w:rPr>
                <w:color w:val="auto"/>
                <w:highlight w:val="none"/>
                <w:lang w:val="en-US"/>
              </w:rPr>
            </w:pPr>
          </w:p>
          <w:p>
            <w:pPr>
              <w:pStyle w:val="2"/>
              <w:jc w:val="center"/>
              <w:rPr>
                <w:color w:val="auto"/>
                <w:highlight w:val="none"/>
                <w:lang w:val="en-US"/>
              </w:rPr>
            </w:pPr>
            <w:r>
              <w:rPr>
                <w:rFonts w:hint="eastAsia"/>
                <w:color w:val="auto"/>
                <w:highlight w:val="none"/>
                <w:lang w:val="en-US"/>
              </w:rPr>
              <w:t>1</w:t>
            </w:r>
          </w:p>
        </w:tc>
        <w:tc>
          <w:tcPr>
            <w:tcW w:w="1133" w:type="dxa"/>
            <w:vMerge w:val="restart"/>
          </w:tcPr>
          <w:p>
            <w:pPr>
              <w:pStyle w:val="2"/>
              <w:jc w:val="center"/>
              <w:rPr>
                <w:color w:val="auto"/>
                <w:highlight w:val="none"/>
                <w:lang w:val="en-US"/>
              </w:rPr>
            </w:pPr>
          </w:p>
          <w:p>
            <w:pPr>
              <w:pStyle w:val="2"/>
              <w:jc w:val="center"/>
              <w:rPr>
                <w:color w:val="auto"/>
                <w:highlight w:val="none"/>
                <w:lang w:val="en-US"/>
              </w:rPr>
            </w:pPr>
          </w:p>
          <w:p>
            <w:pPr>
              <w:pStyle w:val="2"/>
              <w:jc w:val="center"/>
              <w:rPr>
                <w:color w:val="auto"/>
                <w:highlight w:val="none"/>
                <w:lang w:val="en-US"/>
              </w:rPr>
            </w:pPr>
          </w:p>
          <w:p>
            <w:pPr>
              <w:pStyle w:val="2"/>
              <w:jc w:val="center"/>
              <w:rPr>
                <w:color w:val="auto"/>
                <w:highlight w:val="none"/>
                <w:lang w:val="en-US"/>
              </w:rPr>
            </w:pPr>
          </w:p>
          <w:p>
            <w:pPr>
              <w:pStyle w:val="2"/>
              <w:jc w:val="center"/>
              <w:rPr>
                <w:color w:val="auto"/>
                <w:highlight w:val="none"/>
                <w:lang w:val="en-US"/>
              </w:rPr>
            </w:pPr>
            <w:r>
              <w:rPr>
                <w:rFonts w:hint="eastAsia"/>
                <w:color w:val="auto"/>
                <w:highlight w:val="none"/>
                <w:lang w:val="en-US"/>
              </w:rPr>
              <w:t>人员工资</w:t>
            </w:r>
          </w:p>
        </w:tc>
        <w:tc>
          <w:tcPr>
            <w:tcW w:w="1550" w:type="dxa"/>
            <w:vAlign w:val="center"/>
          </w:tcPr>
          <w:p>
            <w:pPr>
              <w:pStyle w:val="2"/>
              <w:jc w:val="center"/>
              <w:rPr>
                <w:color w:val="auto"/>
                <w:highlight w:val="none"/>
              </w:rPr>
            </w:pPr>
            <w:r>
              <w:rPr>
                <w:rFonts w:hint="eastAsia"/>
                <w:color w:val="auto"/>
                <w:highlight w:val="none"/>
                <w:lang w:val="en-US"/>
              </w:rPr>
              <w:t>后勤管理人员</w:t>
            </w:r>
          </w:p>
        </w:tc>
        <w:tc>
          <w:tcPr>
            <w:tcW w:w="700" w:type="dxa"/>
            <w:vAlign w:val="center"/>
          </w:tcPr>
          <w:p>
            <w:pPr>
              <w:pStyle w:val="2"/>
              <w:jc w:val="center"/>
              <w:rPr>
                <w:color w:val="auto"/>
                <w:highlight w:val="none"/>
                <w:lang w:val="en-US"/>
              </w:rPr>
            </w:pPr>
            <w:r>
              <w:rPr>
                <w:rFonts w:hint="eastAsia"/>
                <w:color w:val="auto"/>
                <w:highlight w:val="none"/>
                <w:lang w:val="en-US"/>
              </w:rPr>
              <w:t>1</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rPr>
            </w:pPr>
          </w:p>
        </w:tc>
        <w:tc>
          <w:tcPr>
            <w:tcW w:w="1133" w:type="dxa"/>
            <w:vMerge w:val="continue"/>
          </w:tcPr>
          <w:p>
            <w:pPr>
              <w:pStyle w:val="2"/>
              <w:jc w:val="center"/>
              <w:rPr>
                <w:color w:val="auto"/>
                <w:highlight w:val="none"/>
              </w:rPr>
            </w:pPr>
          </w:p>
        </w:tc>
        <w:tc>
          <w:tcPr>
            <w:tcW w:w="1550" w:type="dxa"/>
            <w:vAlign w:val="center"/>
          </w:tcPr>
          <w:p>
            <w:pPr>
              <w:pStyle w:val="2"/>
              <w:jc w:val="center"/>
              <w:rPr>
                <w:color w:val="auto"/>
                <w:highlight w:val="none"/>
              </w:rPr>
            </w:pPr>
            <w:r>
              <w:rPr>
                <w:rFonts w:hint="eastAsia"/>
                <w:color w:val="auto"/>
                <w:highlight w:val="none"/>
                <w:lang w:val="en-US"/>
              </w:rPr>
              <w:t>会务服务员</w:t>
            </w:r>
          </w:p>
        </w:tc>
        <w:tc>
          <w:tcPr>
            <w:tcW w:w="700" w:type="dxa"/>
            <w:vAlign w:val="center"/>
          </w:tcPr>
          <w:p>
            <w:pPr>
              <w:pStyle w:val="2"/>
              <w:jc w:val="center"/>
              <w:rPr>
                <w:color w:val="auto"/>
                <w:highlight w:val="none"/>
                <w:lang w:val="en-US"/>
              </w:rPr>
            </w:pPr>
            <w:r>
              <w:rPr>
                <w:rFonts w:hint="eastAsia"/>
                <w:color w:val="auto"/>
                <w:highlight w:val="none"/>
                <w:lang w:val="en-US"/>
              </w:rPr>
              <w:t>1</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rPr>
            </w:pPr>
          </w:p>
        </w:tc>
        <w:tc>
          <w:tcPr>
            <w:tcW w:w="1133" w:type="dxa"/>
            <w:vMerge w:val="continue"/>
          </w:tcPr>
          <w:p>
            <w:pPr>
              <w:pStyle w:val="2"/>
              <w:jc w:val="center"/>
              <w:rPr>
                <w:color w:val="auto"/>
                <w:highlight w:val="none"/>
              </w:rPr>
            </w:pPr>
          </w:p>
        </w:tc>
        <w:tc>
          <w:tcPr>
            <w:tcW w:w="1550" w:type="dxa"/>
            <w:vAlign w:val="center"/>
          </w:tcPr>
          <w:p>
            <w:pPr>
              <w:pStyle w:val="2"/>
              <w:jc w:val="center"/>
              <w:rPr>
                <w:color w:val="auto"/>
                <w:highlight w:val="none"/>
              </w:rPr>
            </w:pPr>
            <w:r>
              <w:rPr>
                <w:rFonts w:hint="eastAsia"/>
                <w:color w:val="auto"/>
                <w:highlight w:val="none"/>
                <w:lang w:val="en-US"/>
              </w:rPr>
              <w:t>小车驾驶员</w:t>
            </w:r>
          </w:p>
        </w:tc>
        <w:tc>
          <w:tcPr>
            <w:tcW w:w="700" w:type="dxa"/>
            <w:vAlign w:val="center"/>
          </w:tcPr>
          <w:p>
            <w:pPr>
              <w:pStyle w:val="2"/>
              <w:jc w:val="center"/>
              <w:rPr>
                <w:color w:val="auto"/>
                <w:highlight w:val="none"/>
                <w:lang w:val="en-US"/>
              </w:rPr>
            </w:pPr>
            <w:r>
              <w:rPr>
                <w:rFonts w:hint="eastAsia"/>
                <w:color w:val="auto"/>
                <w:highlight w:val="none"/>
                <w:lang w:val="en-US"/>
              </w:rPr>
              <w:t>7</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rPr>
            </w:pPr>
          </w:p>
        </w:tc>
        <w:tc>
          <w:tcPr>
            <w:tcW w:w="1133" w:type="dxa"/>
            <w:vMerge w:val="continue"/>
          </w:tcPr>
          <w:p>
            <w:pPr>
              <w:pStyle w:val="2"/>
              <w:jc w:val="center"/>
              <w:rPr>
                <w:color w:val="auto"/>
                <w:highlight w:val="none"/>
              </w:rPr>
            </w:pPr>
          </w:p>
        </w:tc>
        <w:tc>
          <w:tcPr>
            <w:tcW w:w="1550" w:type="dxa"/>
            <w:vAlign w:val="center"/>
          </w:tcPr>
          <w:p>
            <w:pPr>
              <w:pStyle w:val="2"/>
              <w:jc w:val="center"/>
              <w:rPr>
                <w:color w:val="auto"/>
                <w:highlight w:val="none"/>
              </w:rPr>
            </w:pPr>
            <w:r>
              <w:rPr>
                <w:rFonts w:hint="eastAsia"/>
                <w:color w:val="auto"/>
                <w:highlight w:val="none"/>
                <w:lang w:val="en-US"/>
              </w:rPr>
              <w:t>杂工</w:t>
            </w:r>
          </w:p>
        </w:tc>
        <w:tc>
          <w:tcPr>
            <w:tcW w:w="700" w:type="dxa"/>
            <w:vAlign w:val="center"/>
          </w:tcPr>
          <w:p>
            <w:pPr>
              <w:pStyle w:val="2"/>
              <w:jc w:val="center"/>
              <w:rPr>
                <w:color w:val="auto"/>
                <w:highlight w:val="none"/>
                <w:lang w:val="en-US"/>
              </w:rPr>
            </w:pPr>
            <w:r>
              <w:rPr>
                <w:color w:val="auto"/>
                <w:highlight w:val="none"/>
                <w:lang w:val="en-US"/>
              </w:rPr>
              <w:t>4</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rPr>
            </w:pPr>
          </w:p>
        </w:tc>
        <w:tc>
          <w:tcPr>
            <w:tcW w:w="1133" w:type="dxa"/>
            <w:vMerge w:val="continue"/>
          </w:tcPr>
          <w:p>
            <w:pPr>
              <w:pStyle w:val="2"/>
              <w:jc w:val="center"/>
              <w:rPr>
                <w:color w:val="auto"/>
                <w:highlight w:val="none"/>
              </w:rPr>
            </w:pPr>
          </w:p>
        </w:tc>
        <w:tc>
          <w:tcPr>
            <w:tcW w:w="1550" w:type="dxa"/>
            <w:vAlign w:val="center"/>
          </w:tcPr>
          <w:p>
            <w:pPr>
              <w:pStyle w:val="2"/>
              <w:jc w:val="center"/>
              <w:rPr>
                <w:color w:val="auto"/>
                <w:highlight w:val="none"/>
              </w:rPr>
            </w:pPr>
            <w:r>
              <w:rPr>
                <w:rFonts w:hint="eastAsia"/>
                <w:color w:val="auto"/>
                <w:highlight w:val="none"/>
                <w:lang w:val="en-US"/>
              </w:rPr>
              <w:t>帮厨</w:t>
            </w:r>
          </w:p>
        </w:tc>
        <w:tc>
          <w:tcPr>
            <w:tcW w:w="700" w:type="dxa"/>
            <w:vAlign w:val="center"/>
          </w:tcPr>
          <w:p>
            <w:pPr>
              <w:pStyle w:val="2"/>
              <w:jc w:val="center"/>
              <w:rPr>
                <w:color w:val="auto"/>
                <w:highlight w:val="none"/>
                <w:lang w:val="en-US"/>
              </w:rPr>
            </w:pPr>
            <w:r>
              <w:rPr>
                <w:rFonts w:hint="eastAsia"/>
                <w:color w:val="auto"/>
                <w:highlight w:val="none"/>
                <w:lang w:val="en-US"/>
              </w:rPr>
              <w:t>3</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rPr>
            </w:pPr>
          </w:p>
        </w:tc>
        <w:tc>
          <w:tcPr>
            <w:tcW w:w="1133" w:type="dxa"/>
            <w:vMerge w:val="continue"/>
          </w:tcPr>
          <w:p>
            <w:pPr>
              <w:pStyle w:val="2"/>
              <w:jc w:val="center"/>
              <w:rPr>
                <w:color w:val="auto"/>
                <w:highlight w:val="none"/>
              </w:rPr>
            </w:pPr>
          </w:p>
        </w:tc>
        <w:tc>
          <w:tcPr>
            <w:tcW w:w="1550" w:type="dxa"/>
            <w:vAlign w:val="center"/>
          </w:tcPr>
          <w:p>
            <w:pPr>
              <w:pStyle w:val="2"/>
              <w:jc w:val="center"/>
              <w:rPr>
                <w:color w:val="auto"/>
                <w:highlight w:val="none"/>
              </w:rPr>
            </w:pPr>
            <w:r>
              <w:rPr>
                <w:rFonts w:hint="eastAsia"/>
                <w:color w:val="auto"/>
                <w:highlight w:val="none"/>
                <w:lang w:val="en-US"/>
              </w:rPr>
              <w:t>主厨</w:t>
            </w:r>
          </w:p>
        </w:tc>
        <w:tc>
          <w:tcPr>
            <w:tcW w:w="700" w:type="dxa"/>
            <w:vAlign w:val="center"/>
          </w:tcPr>
          <w:p>
            <w:pPr>
              <w:pStyle w:val="2"/>
              <w:jc w:val="center"/>
              <w:rPr>
                <w:color w:val="auto"/>
                <w:highlight w:val="none"/>
                <w:lang w:val="en-US"/>
              </w:rPr>
            </w:pPr>
            <w:r>
              <w:rPr>
                <w:color w:val="auto"/>
                <w:highlight w:val="none"/>
                <w:lang w:val="en-US"/>
              </w:rPr>
              <w:t>1</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rPr>
            </w:pPr>
          </w:p>
        </w:tc>
        <w:tc>
          <w:tcPr>
            <w:tcW w:w="1133" w:type="dxa"/>
            <w:vMerge w:val="continue"/>
          </w:tcPr>
          <w:p>
            <w:pPr>
              <w:pStyle w:val="2"/>
              <w:jc w:val="center"/>
              <w:rPr>
                <w:color w:val="auto"/>
                <w:highlight w:val="none"/>
              </w:rPr>
            </w:pPr>
          </w:p>
        </w:tc>
        <w:tc>
          <w:tcPr>
            <w:tcW w:w="1550" w:type="dxa"/>
            <w:vAlign w:val="center"/>
          </w:tcPr>
          <w:p>
            <w:pPr>
              <w:pStyle w:val="2"/>
              <w:jc w:val="center"/>
              <w:rPr>
                <w:color w:val="auto"/>
                <w:highlight w:val="none"/>
              </w:rPr>
            </w:pPr>
            <w:r>
              <w:rPr>
                <w:rFonts w:hint="eastAsia"/>
                <w:color w:val="auto"/>
                <w:highlight w:val="none"/>
                <w:lang w:val="en-US"/>
              </w:rPr>
              <w:t>辅助人员</w:t>
            </w:r>
          </w:p>
        </w:tc>
        <w:tc>
          <w:tcPr>
            <w:tcW w:w="700" w:type="dxa"/>
            <w:vAlign w:val="center"/>
          </w:tcPr>
          <w:p>
            <w:pPr>
              <w:pStyle w:val="2"/>
              <w:jc w:val="center"/>
              <w:rPr>
                <w:rFonts w:hint="eastAsia" w:eastAsia="宋体"/>
                <w:color w:val="auto"/>
                <w:highlight w:val="none"/>
                <w:lang w:val="en-US" w:eastAsia="zh-CN"/>
              </w:rPr>
            </w:pPr>
            <w:r>
              <w:rPr>
                <w:rFonts w:hint="eastAsia"/>
                <w:color w:val="auto"/>
                <w:highlight w:val="none"/>
                <w:lang w:val="en-US" w:eastAsia="zh-CN"/>
              </w:rPr>
              <w:t>4</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Merge w:val="continue"/>
          </w:tcPr>
          <w:p>
            <w:pPr>
              <w:pStyle w:val="2"/>
              <w:jc w:val="center"/>
              <w:rPr>
                <w:color w:val="auto"/>
                <w:highlight w:val="none"/>
                <w:lang w:val="en-US"/>
              </w:rPr>
            </w:pPr>
          </w:p>
        </w:tc>
        <w:tc>
          <w:tcPr>
            <w:tcW w:w="1133" w:type="dxa"/>
            <w:vMerge w:val="continue"/>
          </w:tcPr>
          <w:p>
            <w:pPr>
              <w:pStyle w:val="2"/>
              <w:jc w:val="center"/>
              <w:rPr>
                <w:color w:val="auto"/>
                <w:highlight w:val="none"/>
                <w:lang w:val="en-US"/>
              </w:rPr>
            </w:pPr>
          </w:p>
        </w:tc>
        <w:tc>
          <w:tcPr>
            <w:tcW w:w="1550" w:type="dxa"/>
            <w:vAlign w:val="center"/>
          </w:tcPr>
          <w:p>
            <w:pPr>
              <w:pStyle w:val="2"/>
              <w:jc w:val="center"/>
              <w:rPr>
                <w:color w:val="auto"/>
                <w:highlight w:val="none"/>
                <w:lang w:val="en-US"/>
              </w:rPr>
            </w:pPr>
            <w:r>
              <w:rPr>
                <w:rFonts w:hint="eastAsia"/>
                <w:color w:val="auto"/>
                <w:highlight w:val="none"/>
                <w:lang w:val="en-US"/>
              </w:rPr>
              <w:t>小计</w:t>
            </w:r>
          </w:p>
        </w:tc>
        <w:tc>
          <w:tcPr>
            <w:tcW w:w="700" w:type="dxa"/>
            <w:vAlign w:val="center"/>
          </w:tcPr>
          <w:p>
            <w:pPr>
              <w:pStyle w:val="2"/>
              <w:jc w:val="center"/>
              <w:rPr>
                <w:rFonts w:hint="eastAsia" w:eastAsia="宋体"/>
                <w:color w:val="auto"/>
                <w:highlight w:val="none"/>
                <w:lang w:val="en-US" w:eastAsia="zh-CN"/>
              </w:rPr>
            </w:pPr>
            <w:r>
              <w:rPr>
                <w:rFonts w:hint="eastAsia"/>
                <w:color w:val="auto"/>
                <w:highlight w:val="none"/>
                <w:lang w:val="en-US" w:eastAsia="zh-CN"/>
              </w:rPr>
              <w:t>21</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lang w:val="en-US"/>
              </w:rPr>
            </w:pP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390" w:type="dxa"/>
          </w:tcPr>
          <w:p>
            <w:pPr>
              <w:pStyle w:val="2"/>
              <w:jc w:val="center"/>
              <w:rPr>
                <w:color w:val="auto"/>
                <w:highlight w:val="none"/>
                <w:lang w:val="en-US"/>
              </w:rPr>
            </w:pPr>
            <w:r>
              <w:rPr>
                <w:rFonts w:hint="eastAsia"/>
                <w:color w:val="auto"/>
                <w:highlight w:val="none"/>
                <w:lang w:val="en-US"/>
              </w:rPr>
              <w:t>2</w:t>
            </w:r>
          </w:p>
        </w:tc>
        <w:tc>
          <w:tcPr>
            <w:tcW w:w="2683" w:type="dxa"/>
            <w:gridSpan w:val="2"/>
            <w:vAlign w:val="center"/>
          </w:tcPr>
          <w:p>
            <w:pPr>
              <w:pStyle w:val="2"/>
              <w:jc w:val="center"/>
              <w:rPr>
                <w:color w:val="auto"/>
                <w:highlight w:val="none"/>
                <w:lang w:val="en-US"/>
              </w:rPr>
            </w:pPr>
            <w:r>
              <w:rPr>
                <w:rFonts w:hint="eastAsia"/>
                <w:color w:val="auto"/>
                <w:highlight w:val="none"/>
                <w:lang w:val="en-US"/>
              </w:rPr>
              <w:t>工装（暂估价）</w:t>
            </w:r>
          </w:p>
        </w:tc>
        <w:tc>
          <w:tcPr>
            <w:tcW w:w="700" w:type="dxa"/>
            <w:vAlign w:val="center"/>
          </w:tcPr>
          <w:p>
            <w:pPr>
              <w:pStyle w:val="2"/>
              <w:jc w:val="center"/>
              <w:rPr>
                <w:color w:val="auto"/>
                <w:highlight w:val="none"/>
                <w:lang w:val="en-US"/>
              </w:rPr>
            </w:pPr>
            <w:r>
              <w:rPr>
                <w:rFonts w:hint="eastAsia"/>
                <w:color w:val="auto"/>
                <w:highlight w:val="none"/>
                <w:lang w:val="en-US"/>
              </w:rPr>
              <w:t>22</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lang w:val="en-US"/>
              </w:rPr>
            </w:pPr>
          </w:p>
        </w:tc>
        <w:tc>
          <w:tcPr>
            <w:tcW w:w="2000" w:type="dxa"/>
            <w:vAlign w:val="center"/>
          </w:tcPr>
          <w:p>
            <w:pPr>
              <w:pStyle w:val="2"/>
              <w:jc w:val="center"/>
              <w:rPr>
                <w:rFonts w:hint="eastAsia"/>
                <w:color w:val="auto"/>
                <w:highlight w:val="none"/>
                <w:lang w:val="en-US" w:eastAsia="zh-CN"/>
              </w:rPr>
            </w:pPr>
            <w:r>
              <w:rPr>
                <w:rFonts w:hint="eastAsia"/>
                <w:color w:val="auto"/>
                <w:highlight w:val="none"/>
                <w:lang w:val="en-US" w:eastAsia="zh-CN"/>
              </w:rPr>
              <w:t>暂估22人</w:t>
            </w:r>
          </w:p>
          <w:p>
            <w:pPr>
              <w:pStyle w:val="2"/>
              <w:jc w:val="center"/>
              <w:rPr>
                <w:color w:val="auto"/>
                <w:highlight w:val="none"/>
                <w:lang w:val="en-US"/>
              </w:rPr>
            </w:pPr>
            <w:r>
              <w:rPr>
                <w:rFonts w:hint="eastAsia"/>
                <w:color w:val="auto"/>
                <w:highlight w:val="none"/>
                <w:lang w:val="en-US"/>
              </w:rPr>
              <w:t>每人每年按2000计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lang w:val="en-US"/>
              </w:rPr>
            </w:pPr>
            <w:r>
              <w:rPr>
                <w:rFonts w:hint="eastAsia"/>
                <w:color w:val="auto"/>
                <w:highlight w:val="none"/>
                <w:lang w:val="en-US"/>
              </w:rPr>
              <w:t>3</w:t>
            </w:r>
          </w:p>
        </w:tc>
        <w:tc>
          <w:tcPr>
            <w:tcW w:w="2683" w:type="dxa"/>
            <w:gridSpan w:val="2"/>
            <w:vAlign w:val="center"/>
          </w:tcPr>
          <w:p>
            <w:pPr>
              <w:pStyle w:val="2"/>
              <w:jc w:val="center"/>
              <w:rPr>
                <w:color w:val="auto"/>
                <w:highlight w:val="none"/>
                <w:lang w:val="en-US"/>
              </w:rPr>
            </w:pPr>
            <w:r>
              <w:rPr>
                <w:rFonts w:hint="eastAsia"/>
                <w:color w:val="auto"/>
                <w:highlight w:val="none"/>
                <w:lang w:val="en-US"/>
              </w:rPr>
              <w:t>体检（暂估价）</w:t>
            </w:r>
          </w:p>
        </w:tc>
        <w:tc>
          <w:tcPr>
            <w:tcW w:w="700" w:type="dxa"/>
            <w:vAlign w:val="center"/>
          </w:tcPr>
          <w:p>
            <w:pPr>
              <w:pStyle w:val="2"/>
              <w:jc w:val="center"/>
              <w:rPr>
                <w:color w:val="auto"/>
                <w:highlight w:val="none"/>
                <w:lang w:val="en-US"/>
              </w:rPr>
            </w:pPr>
            <w:r>
              <w:rPr>
                <w:rFonts w:hint="eastAsia"/>
                <w:color w:val="auto"/>
                <w:highlight w:val="none"/>
                <w:lang w:val="en-US"/>
              </w:rPr>
              <w:t>22</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lang w:val="en-US"/>
              </w:rPr>
            </w:pPr>
          </w:p>
        </w:tc>
        <w:tc>
          <w:tcPr>
            <w:tcW w:w="2000" w:type="dxa"/>
            <w:vAlign w:val="center"/>
          </w:tcPr>
          <w:p>
            <w:pPr>
              <w:pStyle w:val="2"/>
              <w:jc w:val="center"/>
              <w:rPr>
                <w:rFonts w:hint="eastAsia"/>
                <w:color w:val="auto"/>
                <w:highlight w:val="none"/>
                <w:lang w:val="en-US" w:eastAsia="zh-CN"/>
              </w:rPr>
            </w:pPr>
            <w:r>
              <w:rPr>
                <w:rFonts w:hint="eastAsia"/>
                <w:color w:val="auto"/>
                <w:highlight w:val="none"/>
                <w:lang w:val="en-US" w:eastAsia="zh-CN"/>
              </w:rPr>
              <w:t>暂估22人</w:t>
            </w:r>
          </w:p>
          <w:p>
            <w:pPr>
              <w:pStyle w:val="2"/>
              <w:jc w:val="center"/>
              <w:rPr>
                <w:color w:val="auto"/>
                <w:highlight w:val="none"/>
                <w:lang w:val="en-US"/>
              </w:rPr>
            </w:pPr>
            <w:r>
              <w:rPr>
                <w:rFonts w:hint="eastAsia"/>
                <w:color w:val="auto"/>
                <w:highlight w:val="none"/>
                <w:lang w:val="en-US"/>
              </w:rPr>
              <w:t>每人每年按2000计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lang w:val="en-US"/>
              </w:rPr>
            </w:pPr>
            <w:r>
              <w:rPr>
                <w:rFonts w:hint="eastAsia"/>
                <w:color w:val="auto"/>
                <w:highlight w:val="none"/>
                <w:lang w:val="en-US"/>
              </w:rPr>
              <w:t>4</w:t>
            </w:r>
          </w:p>
        </w:tc>
        <w:tc>
          <w:tcPr>
            <w:tcW w:w="2683" w:type="dxa"/>
            <w:gridSpan w:val="2"/>
            <w:vAlign w:val="center"/>
          </w:tcPr>
          <w:p>
            <w:pPr>
              <w:pStyle w:val="2"/>
              <w:jc w:val="center"/>
              <w:rPr>
                <w:color w:val="auto"/>
                <w:highlight w:val="none"/>
                <w:lang w:val="en-US"/>
              </w:rPr>
            </w:pPr>
            <w:r>
              <w:rPr>
                <w:rFonts w:hint="eastAsia"/>
                <w:color w:val="auto"/>
                <w:highlight w:val="none"/>
                <w:lang w:val="en-US"/>
              </w:rPr>
              <w:t>福利费</w:t>
            </w:r>
          </w:p>
        </w:tc>
        <w:tc>
          <w:tcPr>
            <w:tcW w:w="700" w:type="dxa"/>
            <w:vAlign w:val="center"/>
          </w:tcPr>
          <w:p>
            <w:pPr>
              <w:pStyle w:val="2"/>
              <w:jc w:val="center"/>
              <w:rPr>
                <w:color w:val="auto"/>
                <w:highlight w:val="none"/>
                <w:lang w:val="en-US"/>
              </w:rPr>
            </w:pPr>
            <w:r>
              <w:rPr>
                <w:rFonts w:hint="eastAsia"/>
                <w:color w:val="auto"/>
                <w:highlight w:val="none"/>
                <w:lang w:val="en-US"/>
              </w:rPr>
              <w:t>22</w:t>
            </w: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lang w:val="en-US"/>
              </w:rPr>
            </w:pPr>
          </w:p>
        </w:tc>
        <w:tc>
          <w:tcPr>
            <w:tcW w:w="2000" w:type="dxa"/>
            <w:vAlign w:val="center"/>
          </w:tcPr>
          <w:p>
            <w:pPr>
              <w:pStyle w:val="2"/>
              <w:jc w:val="center"/>
              <w:rPr>
                <w:rFonts w:hint="eastAsia"/>
                <w:color w:val="auto"/>
                <w:highlight w:val="none"/>
                <w:lang w:val="en-US" w:eastAsia="zh-CN"/>
              </w:rPr>
            </w:pPr>
            <w:r>
              <w:rPr>
                <w:rFonts w:hint="eastAsia"/>
                <w:color w:val="auto"/>
                <w:highlight w:val="none"/>
                <w:lang w:val="en-US" w:eastAsia="zh-CN"/>
              </w:rPr>
              <w:t>暂估22人</w:t>
            </w:r>
          </w:p>
          <w:p>
            <w:pPr>
              <w:pStyle w:val="2"/>
              <w:jc w:val="center"/>
              <w:rPr>
                <w:color w:val="auto"/>
                <w:highlight w:val="none"/>
                <w:lang w:val="en-US"/>
              </w:rPr>
            </w:pPr>
            <w:r>
              <w:rPr>
                <w:rFonts w:hint="eastAsia"/>
                <w:color w:val="auto"/>
                <w:highlight w:val="none"/>
                <w:lang w:val="en-US"/>
              </w:rPr>
              <w:t>每人每年按2000计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lang w:val="en-US"/>
              </w:rPr>
            </w:pPr>
            <w:r>
              <w:rPr>
                <w:rFonts w:hint="eastAsia"/>
                <w:color w:val="auto"/>
                <w:highlight w:val="none"/>
                <w:lang w:val="en-US"/>
              </w:rPr>
              <w:t>5</w:t>
            </w:r>
          </w:p>
        </w:tc>
        <w:tc>
          <w:tcPr>
            <w:tcW w:w="2683" w:type="dxa"/>
            <w:gridSpan w:val="2"/>
            <w:vAlign w:val="center"/>
          </w:tcPr>
          <w:p>
            <w:pPr>
              <w:pStyle w:val="2"/>
              <w:jc w:val="center"/>
              <w:rPr>
                <w:color w:val="auto"/>
                <w:highlight w:val="none"/>
                <w:lang w:val="en-US"/>
              </w:rPr>
            </w:pPr>
            <w:r>
              <w:rPr>
                <w:rFonts w:hint="eastAsia"/>
                <w:color w:val="auto"/>
                <w:highlight w:val="none"/>
                <w:lang w:val="en-US"/>
              </w:rPr>
              <w:t>评优评先</w:t>
            </w:r>
          </w:p>
        </w:tc>
        <w:tc>
          <w:tcPr>
            <w:tcW w:w="700" w:type="dxa"/>
            <w:vAlign w:val="center"/>
          </w:tcPr>
          <w:p>
            <w:pPr>
              <w:pStyle w:val="2"/>
              <w:jc w:val="center"/>
              <w:rPr>
                <w:color w:val="auto"/>
                <w:highlight w:val="none"/>
              </w:rPr>
            </w:pP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lang w:val="en-US"/>
              </w:rPr>
            </w:pPr>
            <w:r>
              <w:rPr>
                <w:rFonts w:hint="eastAsia"/>
                <w:color w:val="auto"/>
                <w:highlight w:val="none"/>
                <w:lang w:val="en-US"/>
              </w:rPr>
              <w:t>5000</w:t>
            </w:r>
          </w:p>
        </w:tc>
        <w:tc>
          <w:tcPr>
            <w:tcW w:w="2000" w:type="dxa"/>
            <w:vAlign w:val="center"/>
          </w:tcPr>
          <w:p>
            <w:pPr>
              <w:pStyle w:val="2"/>
              <w:jc w:val="center"/>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lang w:val="en-US"/>
              </w:rPr>
            </w:pPr>
            <w:r>
              <w:rPr>
                <w:color w:val="auto"/>
                <w:highlight w:val="none"/>
                <w:lang w:val="en-US"/>
              </w:rPr>
              <w:t>6</w:t>
            </w:r>
          </w:p>
        </w:tc>
        <w:tc>
          <w:tcPr>
            <w:tcW w:w="2683" w:type="dxa"/>
            <w:gridSpan w:val="2"/>
            <w:vAlign w:val="center"/>
          </w:tcPr>
          <w:p>
            <w:pPr>
              <w:pStyle w:val="2"/>
              <w:jc w:val="center"/>
              <w:rPr>
                <w:color w:val="auto"/>
                <w:highlight w:val="none"/>
                <w:lang w:val="en-US"/>
              </w:rPr>
            </w:pPr>
            <w:r>
              <w:rPr>
                <w:rFonts w:hint="eastAsia"/>
                <w:color w:val="auto"/>
                <w:highlight w:val="none"/>
                <w:lang w:val="en-US"/>
              </w:rPr>
              <w:t>管理费（费率X %）=（1（小计）+2+3+4+5）*x%</w:t>
            </w:r>
          </w:p>
        </w:tc>
        <w:tc>
          <w:tcPr>
            <w:tcW w:w="700" w:type="dxa"/>
            <w:vAlign w:val="center"/>
          </w:tcPr>
          <w:p>
            <w:pPr>
              <w:pStyle w:val="2"/>
              <w:jc w:val="center"/>
              <w:rPr>
                <w:color w:val="auto"/>
                <w:highlight w:val="none"/>
              </w:rPr>
            </w:pP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lang w:val="en-US"/>
              </w:rPr>
            </w:pPr>
            <w:r>
              <w:rPr>
                <w:color w:val="auto"/>
                <w:highlight w:val="none"/>
                <w:lang w:val="en-US"/>
              </w:rPr>
              <w:t>7</w:t>
            </w:r>
          </w:p>
        </w:tc>
        <w:tc>
          <w:tcPr>
            <w:tcW w:w="2683" w:type="dxa"/>
            <w:gridSpan w:val="2"/>
            <w:vAlign w:val="center"/>
          </w:tcPr>
          <w:p>
            <w:pPr>
              <w:pStyle w:val="2"/>
              <w:jc w:val="center"/>
              <w:rPr>
                <w:color w:val="auto"/>
                <w:highlight w:val="none"/>
                <w:lang w:val="en-US"/>
              </w:rPr>
            </w:pPr>
            <w:r>
              <w:rPr>
                <w:rFonts w:hint="eastAsia"/>
                <w:color w:val="auto"/>
                <w:highlight w:val="none"/>
                <w:lang w:val="en-US"/>
              </w:rPr>
              <w:t>税（税率6%）=（1（小计）+2+3+4+5+6）*6%</w:t>
            </w:r>
          </w:p>
        </w:tc>
        <w:tc>
          <w:tcPr>
            <w:tcW w:w="700" w:type="dxa"/>
            <w:vAlign w:val="center"/>
          </w:tcPr>
          <w:p>
            <w:pPr>
              <w:pStyle w:val="2"/>
              <w:jc w:val="center"/>
              <w:rPr>
                <w:color w:val="auto"/>
                <w:highlight w:val="none"/>
              </w:rPr>
            </w:pP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tcPr>
          <w:p>
            <w:pPr>
              <w:pStyle w:val="2"/>
              <w:jc w:val="center"/>
              <w:rPr>
                <w:color w:val="auto"/>
                <w:highlight w:val="none"/>
                <w:lang w:val="en-US"/>
              </w:rPr>
            </w:pPr>
            <w:r>
              <w:rPr>
                <w:color w:val="auto"/>
                <w:highlight w:val="none"/>
                <w:lang w:val="en-US"/>
              </w:rPr>
              <w:t>8</w:t>
            </w:r>
          </w:p>
        </w:tc>
        <w:tc>
          <w:tcPr>
            <w:tcW w:w="2683" w:type="dxa"/>
            <w:gridSpan w:val="2"/>
            <w:vAlign w:val="center"/>
          </w:tcPr>
          <w:p>
            <w:pPr>
              <w:pStyle w:val="2"/>
              <w:jc w:val="center"/>
              <w:rPr>
                <w:color w:val="auto"/>
                <w:highlight w:val="none"/>
                <w:lang w:val="en-US"/>
              </w:rPr>
            </w:pPr>
            <w:r>
              <w:rPr>
                <w:rFonts w:hint="eastAsia"/>
                <w:color w:val="auto"/>
                <w:highlight w:val="none"/>
                <w:lang w:val="en-US"/>
              </w:rPr>
              <w:t>合计</w:t>
            </w:r>
          </w:p>
        </w:tc>
        <w:tc>
          <w:tcPr>
            <w:tcW w:w="700" w:type="dxa"/>
            <w:vAlign w:val="center"/>
          </w:tcPr>
          <w:p>
            <w:pPr>
              <w:pStyle w:val="2"/>
              <w:jc w:val="center"/>
              <w:rPr>
                <w:color w:val="auto"/>
                <w:highlight w:val="none"/>
              </w:rPr>
            </w:pPr>
          </w:p>
        </w:tc>
        <w:tc>
          <w:tcPr>
            <w:tcW w:w="1583" w:type="dxa"/>
            <w:vAlign w:val="center"/>
          </w:tcPr>
          <w:p>
            <w:pPr>
              <w:pStyle w:val="2"/>
              <w:jc w:val="center"/>
              <w:rPr>
                <w:color w:val="auto"/>
                <w:highlight w:val="none"/>
              </w:rPr>
            </w:pPr>
          </w:p>
        </w:tc>
        <w:tc>
          <w:tcPr>
            <w:tcW w:w="1434" w:type="dxa"/>
            <w:vAlign w:val="center"/>
          </w:tcPr>
          <w:p>
            <w:pPr>
              <w:pStyle w:val="2"/>
              <w:jc w:val="center"/>
              <w:rPr>
                <w:color w:val="auto"/>
                <w:highlight w:val="none"/>
              </w:rPr>
            </w:pPr>
          </w:p>
        </w:tc>
        <w:tc>
          <w:tcPr>
            <w:tcW w:w="2000" w:type="dxa"/>
            <w:vAlign w:val="center"/>
          </w:tcPr>
          <w:p>
            <w:pPr>
              <w:pStyle w:val="2"/>
              <w:jc w:val="center"/>
              <w:rPr>
                <w:color w:val="auto"/>
                <w:highlight w:val="none"/>
              </w:rPr>
            </w:pPr>
          </w:p>
        </w:tc>
      </w:tr>
    </w:tbl>
    <w:p>
      <w:pPr>
        <w:pStyle w:val="2"/>
        <w:jc w:val="center"/>
        <w:rPr>
          <w:color w:val="auto"/>
          <w:highlight w:val="none"/>
        </w:rPr>
      </w:pPr>
    </w:p>
    <w:p>
      <w:pPr>
        <w:widowControl/>
        <w:autoSpaceDE/>
        <w:autoSpaceDN/>
        <w:rPr>
          <w:rFonts w:ascii="Microsoft JhengHei"/>
          <w:b/>
          <w:color w:val="auto"/>
          <w:sz w:val="18"/>
          <w:szCs w:val="18"/>
          <w:highlight w:val="none"/>
          <w:lang w:val="en-US"/>
        </w:rPr>
      </w:pPr>
      <w:r>
        <w:rPr>
          <w:rFonts w:hint="eastAsia" w:ascii="Microsoft JhengHei"/>
          <w:b/>
          <w:color w:val="auto"/>
          <w:sz w:val="18"/>
          <w:szCs w:val="18"/>
          <w:highlight w:val="none"/>
          <w:lang w:val="en-US"/>
        </w:rPr>
        <w:t>注：</w:t>
      </w:r>
      <w:r>
        <w:rPr>
          <w:rFonts w:ascii="Microsoft JhengHei"/>
          <w:b/>
          <w:color w:val="auto"/>
          <w:sz w:val="18"/>
          <w:szCs w:val="18"/>
          <w:highlight w:val="none"/>
          <w:lang w:val="en-US"/>
        </w:rPr>
        <w:t>1</w:t>
      </w:r>
      <w:r>
        <w:rPr>
          <w:rFonts w:hint="eastAsia" w:ascii="Microsoft JhengHei"/>
          <w:b/>
          <w:color w:val="auto"/>
          <w:sz w:val="18"/>
          <w:szCs w:val="18"/>
          <w:highlight w:val="none"/>
          <w:lang w:val="en-US"/>
        </w:rPr>
        <w:t>、工资包括基本工资、绩效</w:t>
      </w:r>
      <w:r>
        <w:rPr>
          <w:rFonts w:hint="eastAsia" w:ascii="Microsoft JhengHei"/>
          <w:b/>
          <w:color w:val="auto"/>
          <w:sz w:val="18"/>
          <w:szCs w:val="18"/>
          <w:highlight w:val="none"/>
          <w:lang w:val="en-US" w:eastAsia="zh-CN"/>
        </w:rPr>
        <w:t>工资</w:t>
      </w:r>
      <w:r>
        <w:rPr>
          <w:rFonts w:hint="eastAsia" w:ascii="Microsoft JhengHei"/>
          <w:b/>
          <w:color w:val="auto"/>
          <w:sz w:val="18"/>
          <w:szCs w:val="18"/>
          <w:highlight w:val="none"/>
          <w:lang w:val="en-US"/>
        </w:rPr>
        <w:t>、社保、残保、雇主责任险；</w:t>
      </w:r>
    </w:p>
    <w:p>
      <w:pPr>
        <w:pStyle w:val="2"/>
        <w:rPr>
          <w:color w:val="auto"/>
          <w:sz w:val="18"/>
          <w:szCs w:val="18"/>
          <w:highlight w:val="none"/>
          <w:lang w:val="en-US"/>
        </w:rPr>
      </w:pPr>
      <w:r>
        <w:rPr>
          <w:rFonts w:ascii="Microsoft JhengHei"/>
          <w:b/>
          <w:color w:val="auto"/>
          <w:sz w:val="18"/>
          <w:szCs w:val="18"/>
          <w:highlight w:val="none"/>
          <w:lang w:val="en-US"/>
        </w:rPr>
        <w:t>2</w:t>
      </w:r>
      <w:r>
        <w:rPr>
          <w:rFonts w:hint="eastAsia" w:ascii="Microsoft JhengHei"/>
          <w:b/>
          <w:color w:val="auto"/>
          <w:sz w:val="18"/>
          <w:szCs w:val="18"/>
          <w:highlight w:val="none"/>
          <w:lang w:val="en-US"/>
        </w:rPr>
        <w:t>、工装、体检费、福利费、评优评先按表中所列暂估价进行报价，暂估价应经发包人批准后才能动用，结算时在限额内据实计列。</w:t>
      </w:r>
    </w:p>
    <w:p>
      <w:pPr>
        <w:widowControl/>
        <w:autoSpaceDE/>
        <w:autoSpaceDN/>
        <w:rPr>
          <w:rFonts w:ascii="Microsoft JhengHei" w:eastAsia="Microsoft JhengHei"/>
          <w:b/>
          <w:color w:val="auto"/>
          <w:sz w:val="32"/>
          <w:highlight w:val="none"/>
          <w:lang w:val="en-US"/>
        </w:rPr>
      </w:pPr>
    </w:p>
    <w:p>
      <w:pPr>
        <w:widowControl/>
        <w:autoSpaceDE/>
        <w:autoSpaceDN/>
        <w:rPr>
          <w:b/>
          <w:bCs/>
          <w:color w:val="auto"/>
          <w:sz w:val="32"/>
          <w:szCs w:val="21"/>
          <w:highlight w:val="none"/>
        </w:rPr>
      </w:pPr>
      <w:r>
        <w:rPr>
          <w:b/>
          <w:bCs/>
          <w:color w:val="auto"/>
          <w:sz w:val="32"/>
          <w:szCs w:val="21"/>
          <w:highlight w:val="none"/>
        </w:rPr>
        <w:br w:type="page"/>
      </w:r>
    </w:p>
    <w:p>
      <w:pPr>
        <w:spacing w:line="525" w:lineRule="exact"/>
        <w:ind w:right="457"/>
        <w:jc w:val="center"/>
        <w:rPr>
          <w:b/>
          <w:bCs/>
          <w:color w:val="auto"/>
          <w:sz w:val="32"/>
          <w:szCs w:val="21"/>
          <w:highlight w:val="none"/>
        </w:rPr>
      </w:pPr>
      <w:r>
        <w:rPr>
          <w:rFonts w:hint="eastAsia"/>
          <w:b/>
          <w:bCs/>
          <w:color w:val="auto"/>
          <w:sz w:val="32"/>
          <w:szCs w:val="21"/>
          <w:highlight w:val="none"/>
        </w:rPr>
        <w:t>二、法定代表人身份证明</w:t>
      </w:r>
      <w:bookmarkEnd w:id="201"/>
      <w:bookmarkEnd w:id="202"/>
    </w:p>
    <w:p>
      <w:pPr>
        <w:pStyle w:val="2"/>
        <w:spacing w:before="3"/>
        <w:rPr>
          <w:rFonts w:ascii="Microsoft JhengHei"/>
          <w:b/>
          <w:color w:val="auto"/>
          <w:sz w:val="20"/>
          <w:szCs w:val="22"/>
          <w:highlight w:val="none"/>
        </w:rPr>
      </w:pPr>
    </w:p>
    <w:p>
      <w:pPr>
        <w:pStyle w:val="2"/>
        <w:tabs>
          <w:tab w:val="left" w:pos="4068"/>
        </w:tabs>
        <w:ind w:left="240"/>
        <w:rPr>
          <w:rFonts w:ascii="Times New Roman" w:eastAsia="Times New Roman"/>
          <w:color w:val="auto"/>
          <w:sz w:val="22"/>
          <w:szCs w:val="22"/>
          <w:highlight w:val="none"/>
        </w:rPr>
      </w:pPr>
      <w:r>
        <w:rPr>
          <w:color w:val="auto"/>
          <w:spacing w:val="-1"/>
          <w:sz w:val="22"/>
          <w:szCs w:val="22"/>
          <w:highlight w:val="none"/>
        </w:rPr>
        <w:t>投</w:t>
      </w:r>
      <w:r>
        <w:rPr>
          <w:color w:val="auto"/>
          <w:sz w:val="22"/>
          <w:szCs w:val="22"/>
          <w:highlight w:val="none"/>
        </w:rPr>
        <w:t>标</w:t>
      </w:r>
      <w:r>
        <w:rPr>
          <w:color w:val="auto"/>
          <w:spacing w:val="-3"/>
          <w:sz w:val="22"/>
          <w:szCs w:val="22"/>
          <w:highlight w:val="none"/>
        </w:rPr>
        <w:t>人</w:t>
      </w:r>
      <w:r>
        <w:rPr>
          <w:color w:val="auto"/>
          <w:sz w:val="22"/>
          <w:szCs w:val="22"/>
          <w:highlight w:val="none"/>
        </w:rPr>
        <w:t>名</w:t>
      </w:r>
      <w:r>
        <w:rPr>
          <w:color w:val="auto"/>
          <w:spacing w:val="-3"/>
          <w:sz w:val="22"/>
          <w:szCs w:val="22"/>
          <w:highlight w:val="none"/>
        </w:rPr>
        <w:t>称</w:t>
      </w:r>
      <w:r>
        <w:rPr>
          <w:color w:val="auto"/>
          <w:sz w:val="22"/>
          <w:szCs w:val="22"/>
          <w:highlight w:val="none"/>
        </w:rPr>
        <w:t>：</w:t>
      </w:r>
      <w:r>
        <w:rPr>
          <w:rFonts w:ascii="Times New Roman" w:eastAsia="Times New Roman"/>
          <w:color w:val="auto"/>
          <w:sz w:val="22"/>
          <w:szCs w:val="22"/>
          <w:highlight w:val="none"/>
          <w:u w:val="single"/>
        </w:rPr>
        <w:t xml:space="preserve"> </w:t>
      </w:r>
      <w:r>
        <w:rPr>
          <w:rFonts w:ascii="Times New Roman" w:eastAsia="Times New Roman"/>
          <w:color w:val="auto"/>
          <w:sz w:val="22"/>
          <w:szCs w:val="22"/>
          <w:highlight w:val="none"/>
          <w:u w:val="single"/>
        </w:rPr>
        <w:tab/>
      </w:r>
    </w:p>
    <w:p>
      <w:pPr>
        <w:pStyle w:val="2"/>
        <w:tabs>
          <w:tab w:val="left" w:pos="2552"/>
          <w:tab w:val="left" w:pos="4023"/>
          <w:tab w:val="left" w:pos="5492"/>
          <w:tab w:val="left" w:pos="7009"/>
        </w:tabs>
        <w:spacing w:before="170"/>
        <w:ind w:left="240"/>
        <w:rPr>
          <w:rFonts w:ascii="Times New Roman" w:eastAsia="Times New Roman"/>
          <w:color w:val="auto"/>
          <w:sz w:val="22"/>
          <w:szCs w:val="22"/>
          <w:highlight w:val="none"/>
        </w:rPr>
      </w:pPr>
      <w:r>
        <w:rPr>
          <w:color w:val="auto"/>
          <w:sz w:val="22"/>
          <w:szCs w:val="22"/>
          <w:highlight w:val="none"/>
        </w:rPr>
        <w:t>姓名</w:t>
      </w:r>
      <w:r>
        <w:rPr>
          <w:color w:val="auto"/>
          <w:spacing w:val="-3"/>
          <w:sz w:val="22"/>
          <w:szCs w:val="22"/>
          <w:highlight w:val="none"/>
        </w:rPr>
        <w:t>：</w:t>
      </w:r>
      <w:r>
        <w:rPr>
          <w:color w:val="auto"/>
          <w:spacing w:val="-3"/>
          <w:sz w:val="22"/>
          <w:szCs w:val="22"/>
          <w:highlight w:val="none"/>
          <w:u w:val="single"/>
        </w:rPr>
        <w:t xml:space="preserve"> </w:t>
      </w:r>
      <w:r>
        <w:rPr>
          <w:color w:val="auto"/>
          <w:spacing w:val="-3"/>
          <w:sz w:val="22"/>
          <w:szCs w:val="22"/>
          <w:highlight w:val="none"/>
          <w:u w:val="single"/>
        </w:rPr>
        <w:tab/>
      </w:r>
      <w:r>
        <w:rPr>
          <w:color w:val="auto"/>
          <w:sz w:val="22"/>
          <w:szCs w:val="22"/>
          <w:highlight w:val="none"/>
        </w:rPr>
        <w:t>性别</w:t>
      </w:r>
      <w:r>
        <w:rPr>
          <w:color w:val="auto"/>
          <w:spacing w:val="-3"/>
          <w:sz w:val="22"/>
          <w:szCs w:val="22"/>
          <w:highlight w:val="none"/>
        </w:rPr>
        <w:t>：</w:t>
      </w:r>
      <w:r>
        <w:rPr>
          <w:color w:val="auto"/>
          <w:spacing w:val="-3"/>
          <w:sz w:val="22"/>
          <w:szCs w:val="22"/>
          <w:highlight w:val="none"/>
          <w:u w:val="single"/>
        </w:rPr>
        <w:t xml:space="preserve"> </w:t>
      </w:r>
      <w:r>
        <w:rPr>
          <w:color w:val="auto"/>
          <w:spacing w:val="-3"/>
          <w:sz w:val="22"/>
          <w:szCs w:val="22"/>
          <w:highlight w:val="none"/>
          <w:u w:val="single"/>
        </w:rPr>
        <w:tab/>
      </w:r>
      <w:r>
        <w:rPr>
          <w:color w:val="auto"/>
          <w:sz w:val="22"/>
          <w:szCs w:val="22"/>
          <w:highlight w:val="none"/>
        </w:rPr>
        <w:t>年</w:t>
      </w:r>
      <w:r>
        <w:rPr>
          <w:color w:val="auto"/>
          <w:spacing w:val="-3"/>
          <w:sz w:val="22"/>
          <w:szCs w:val="22"/>
          <w:highlight w:val="none"/>
        </w:rPr>
        <w:t>龄</w:t>
      </w:r>
      <w:r>
        <w:rPr>
          <w:color w:val="auto"/>
          <w:sz w:val="22"/>
          <w:szCs w:val="22"/>
          <w:highlight w:val="none"/>
        </w:rPr>
        <w:t>：</w:t>
      </w:r>
      <w:r>
        <w:rPr>
          <w:color w:val="auto"/>
          <w:sz w:val="22"/>
          <w:szCs w:val="22"/>
          <w:highlight w:val="none"/>
          <w:u w:val="single"/>
        </w:rPr>
        <w:t xml:space="preserve"> </w:t>
      </w:r>
      <w:r>
        <w:rPr>
          <w:color w:val="auto"/>
          <w:sz w:val="22"/>
          <w:szCs w:val="22"/>
          <w:highlight w:val="none"/>
          <w:u w:val="single"/>
        </w:rPr>
        <w:tab/>
      </w:r>
      <w:r>
        <w:rPr>
          <w:color w:val="auto"/>
          <w:spacing w:val="-1"/>
          <w:sz w:val="22"/>
          <w:szCs w:val="22"/>
          <w:highlight w:val="none"/>
        </w:rPr>
        <w:t>职</w:t>
      </w:r>
      <w:r>
        <w:rPr>
          <w:color w:val="auto"/>
          <w:spacing w:val="-3"/>
          <w:sz w:val="22"/>
          <w:szCs w:val="22"/>
          <w:highlight w:val="none"/>
        </w:rPr>
        <w:t>务</w:t>
      </w:r>
      <w:r>
        <w:rPr>
          <w:color w:val="auto"/>
          <w:sz w:val="22"/>
          <w:szCs w:val="22"/>
          <w:highlight w:val="none"/>
        </w:rPr>
        <w:t>：</w:t>
      </w:r>
      <w:r>
        <w:rPr>
          <w:rFonts w:ascii="Times New Roman" w:eastAsia="Times New Roman"/>
          <w:color w:val="auto"/>
          <w:sz w:val="22"/>
          <w:szCs w:val="22"/>
          <w:highlight w:val="none"/>
          <w:u w:val="single"/>
        </w:rPr>
        <w:t xml:space="preserve"> </w:t>
      </w:r>
      <w:r>
        <w:rPr>
          <w:rFonts w:ascii="Times New Roman" w:eastAsia="Times New Roman"/>
          <w:color w:val="auto"/>
          <w:sz w:val="22"/>
          <w:szCs w:val="22"/>
          <w:highlight w:val="none"/>
          <w:u w:val="single"/>
        </w:rPr>
        <w:tab/>
      </w:r>
    </w:p>
    <w:p>
      <w:pPr>
        <w:pStyle w:val="2"/>
        <w:tabs>
          <w:tab w:val="left" w:pos="2972"/>
        </w:tabs>
        <w:spacing w:before="173"/>
        <w:ind w:left="240"/>
        <w:rPr>
          <w:color w:val="auto"/>
          <w:sz w:val="22"/>
          <w:szCs w:val="22"/>
          <w:highlight w:val="none"/>
        </w:rPr>
      </w:pPr>
      <w:r>
        <w:rPr>
          <w:color w:val="auto"/>
          <w:sz w:val="22"/>
          <w:szCs w:val="22"/>
          <w:highlight w:val="none"/>
        </w:rPr>
        <w:t>系</w:t>
      </w:r>
      <w:r>
        <w:rPr>
          <w:color w:val="auto"/>
          <w:sz w:val="22"/>
          <w:szCs w:val="22"/>
          <w:highlight w:val="none"/>
          <w:u w:val="single"/>
        </w:rPr>
        <w:t xml:space="preserve"> </w:t>
      </w:r>
      <w:r>
        <w:rPr>
          <w:color w:val="auto"/>
          <w:sz w:val="22"/>
          <w:szCs w:val="22"/>
          <w:highlight w:val="none"/>
          <w:u w:val="single"/>
        </w:rPr>
        <w:tab/>
      </w:r>
      <w:r>
        <w:rPr>
          <w:color w:val="auto"/>
          <w:spacing w:val="-3"/>
          <w:sz w:val="22"/>
          <w:szCs w:val="22"/>
          <w:highlight w:val="none"/>
        </w:rPr>
        <w:t>（</w:t>
      </w:r>
      <w:r>
        <w:rPr>
          <w:color w:val="auto"/>
          <w:sz w:val="22"/>
          <w:szCs w:val="22"/>
          <w:highlight w:val="none"/>
        </w:rPr>
        <w:t>投</w:t>
      </w:r>
      <w:r>
        <w:rPr>
          <w:color w:val="auto"/>
          <w:spacing w:val="-3"/>
          <w:sz w:val="22"/>
          <w:szCs w:val="22"/>
          <w:highlight w:val="none"/>
        </w:rPr>
        <w:t>标</w:t>
      </w:r>
      <w:r>
        <w:rPr>
          <w:color w:val="auto"/>
          <w:sz w:val="22"/>
          <w:szCs w:val="22"/>
          <w:highlight w:val="none"/>
        </w:rPr>
        <w:t>人</w:t>
      </w:r>
      <w:r>
        <w:rPr>
          <w:color w:val="auto"/>
          <w:spacing w:val="-3"/>
          <w:sz w:val="22"/>
          <w:szCs w:val="22"/>
          <w:highlight w:val="none"/>
        </w:rPr>
        <w:t>名</w:t>
      </w:r>
      <w:r>
        <w:rPr>
          <w:color w:val="auto"/>
          <w:sz w:val="22"/>
          <w:szCs w:val="22"/>
          <w:highlight w:val="none"/>
        </w:rPr>
        <w:t>称</w:t>
      </w:r>
      <w:r>
        <w:rPr>
          <w:color w:val="auto"/>
          <w:spacing w:val="-3"/>
          <w:sz w:val="22"/>
          <w:szCs w:val="22"/>
          <w:highlight w:val="none"/>
        </w:rPr>
        <w:t>）</w:t>
      </w:r>
      <w:r>
        <w:rPr>
          <w:color w:val="auto"/>
          <w:sz w:val="22"/>
          <w:szCs w:val="22"/>
          <w:highlight w:val="none"/>
        </w:rPr>
        <w:t>的</w:t>
      </w:r>
      <w:r>
        <w:rPr>
          <w:color w:val="auto"/>
          <w:spacing w:val="-3"/>
          <w:sz w:val="22"/>
          <w:szCs w:val="22"/>
          <w:highlight w:val="none"/>
        </w:rPr>
        <w:t>法定</w:t>
      </w:r>
      <w:r>
        <w:rPr>
          <w:color w:val="auto"/>
          <w:sz w:val="22"/>
          <w:szCs w:val="22"/>
          <w:highlight w:val="none"/>
        </w:rPr>
        <w:t>代表</w:t>
      </w:r>
      <w:r>
        <w:rPr>
          <w:color w:val="auto"/>
          <w:spacing w:val="-3"/>
          <w:sz w:val="22"/>
          <w:szCs w:val="22"/>
          <w:highlight w:val="none"/>
        </w:rPr>
        <w:t>人</w:t>
      </w:r>
      <w:r>
        <w:rPr>
          <w:color w:val="auto"/>
          <w:sz w:val="22"/>
          <w:szCs w:val="22"/>
          <w:highlight w:val="none"/>
        </w:rPr>
        <w:t>。</w:t>
      </w:r>
    </w:p>
    <w:p>
      <w:pPr>
        <w:pStyle w:val="2"/>
        <w:spacing w:before="170"/>
        <w:ind w:left="660"/>
        <w:rPr>
          <w:color w:val="auto"/>
          <w:sz w:val="22"/>
          <w:szCs w:val="22"/>
          <w:highlight w:val="none"/>
        </w:rPr>
      </w:pPr>
      <w:r>
        <w:rPr>
          <w:color w:val="auto"/>
          <w:sz w:val="22"/>
          <w:szCs w:val="22"/>
          <w:highlight w:val="none"/>
        </w:rPr>
        <w:t>特此证明。</w:t>
      </w:r>
    </w:p>
    <w:p>
      <w:pPr>
        <w:pStyle w:val="2"/>
        <w:rPr>
          <w:color w:val="auto"/>
          <w:szCs w:val="22"/>
          <w:highlight w:val="none"/>
        </w:rPr>
      </w:pPr>
    </w:p>
    <w:p>
      <w:pPr>
        <w:pStyle w:val="2"/>
        <w:spacing w:before="10"/>
        <w:rPr>
          <w:color w:val="auto"/>
          <w:sz w:val="28"/>
          <w:szCs w:val="22"/>
          <w:highlight w:val="none"/>
        </w:rPr>
      </w:pPr>
    </w:p>
    <w:p>
      <w:pPr>
        <w:pStyle w:val="2"/>
        <w:ind w:left="240"/>
        <w:rPr>
          <w:color w:val="auto"/>
          <w:sz w:val="22"/>
          <w:szCs w:val="22"/>
          <w:highlight w:val="none"/>
        </w:rPr>
      </w:pPr>
      <w:r>
        <w:rPr>
          <w:color w:val="auto"/>
          <w:sz w:val="22"/>
          <w:szCs w:val="22"/>
          <w:highlight w:val="none"/>
        </w:rPr>
        <w:t>附：法定代表人身份证复印件。</w:t>
      </w:r>
    </w:p>
    <w:p>
      <w:pPr>
        <w:pStyle w:val="2"/>
        <w:rPr>
          <w:color w:val="auto"/>
          <w:szCs w:val="22"/>
          <w:highlight w:val="none"/>
        </w:rPr>
      </w:pPr>
    </w:p>
    <w:p>
      <w:pPr>
        <w:pStyle w:val="2"/>
        <w:spacing w:before="7"/>
        <w:rPr>
          <w:color w:val="auto"/>
          <w:sz w:val="28"/>
          <w:szCs w:val="22"/>
          <w:highlight w:val="none"/>
        </w:rPr>
      </w:pPr>
    </w:p>
    <w:p>
      <w:pPr>
        <w:pStyle w:val="2"/>
        <w:ind w:left="240"/>
        <w:rPr>
          <w:color w:val="auto"/>
          <w:sz w:val="22"/>
          <w:szCs w:val="22"/>
          <w:highlight w:val="none"/>
        </w:rPr>
      </w:pPr>
      <w:r>
        <w:rPr>
          <w:color w:val="auto"/>
          <w:sz w:val="22"/>
          <w:szCs w:val="22"/>
          <w:highlight w:val="none"/>
        </w:rPr>
        <w:t>注：本身份证明需由投标人加盖单位公章。</w:t>
      </w:r>
    </w:p>
    <w:p>
      <w:pPr>
        <w:pStyle w:val="2"/>
        <w:rPr>
          <w:color w:val="auto"/>
          <w:szCs w:val="22"/>
          <w:highlight w:val="none"/>
        </w:rPr>
      </w:pPr>
    </w:p>
    <w:p>
      <w:pPr>
        <w:pStyle w:val="2"/>
        <w:rPr>
          <w:color w:val="auto"/>
          <w:szCs w:val="22"/>
          <w:highlight w:val="none"/>
        </w:rPr>
      </w:pPr>
    </w:p>
    <w:p>
      <w:pPr>
        <w:pStyle w:val="2"/>
        <w:rPr>
          <w:color w:val="auto"/>
          <w:szCs w:val="22"/>
          <w:highlight w:val="none"/>
        </w:rPr>
      </w:pPr>
    </w:p>
    <w:p>
      <w:pPr>
        <w:pStyle w:val="2"/>
        <w:spacing w:before="12"/>
        <w:rPr>
          <w:color w:val="auto"/>
          <w:sz w:val="16"/>
          <w:szCs w:val="22"/>
          <w:highlight w:val="none"/>
        </w:rPr>
      </w:pPr>
    </w:p>
    <w:p>
      <w:pPr>
        <w:pStyle w:val="2"/>
        <w:tabs>
          <w:tab w:val="left" w:pos="6661"/>
        </w:tabs>
        <w:spacing w:before="79"/>
        <w:ind w:left="4352"/>
        <w:rPr>
          <w:color w:val="auto"/>
          <w:sz w:val="22"/>
          <w:szCs w:val="22"/>
          <w:highlight w:val="none"/>
        </w:rPr>
      </w:pPr>
      <w:r>
        <w:rPr>
          <w:color w:val="auto"/>
          <w:spacing w:val="-3"/>
          <w:sz w:val="22"/>
          <w:szCs w:val="22"/>
          <w:highlight w:val="none"/>
        </w:rPr>
        <w:t>投</w:t>
      </w:r>
      <w:r>
        <w:rPr>
          <w:color w:val="auto"/>
          <w:sz w:val="22"/>
          <w:szCs w:val="22"/>
          <w:highlight w:val="none"/>
        </w:rPr>
        <w:t>标</w:t>
      </w:r>
      <w:r>
        <w:rPr>
          <w:color w:val="auto"/>
          <w:spacing w:val="-3"/>
          <w:sz w:val="22"/>
          <w:szCs w:val="22"/>
          <w:highlight w:val="none"/>
        </w:rPr>
        <w:t>人</w:t>
      </w:r>
      <w:r>
        <w:rPr>
          <w:color w:val="auto"/>
          <w:sz w:val="22"/>
          <w:szCs w:val="22"/>
          <w:highlight w:val="none"/>
        </w:rPr>
        <w:t>：</w:t>
      </w:r>
      <w:r>
        <w:rPr>
          <w:color w:val="auto"/>
          <w:sz w:val="22"/>
          <w:szCs w:val="22"/>
          <w:highlight w:val="none"/>
          <w:u w:val="single"/>
        </w:rPr>
        <w:t xml:space="preserve"> </w:t>
      </w:r>
      <w:r>
        <w:rPr>
          <w:color w:val="auto"/>
          <w:sz w:val="22"/>
          <w:szCs w:val="22"/>
          <w:highlight w:val="none"/>
          <w:u w:val="single"/>
        </w:rPr>
        <w:tab/>
      </w:r>
      <w:r>
        <w:rPr>
          <w:color w:val="auto"/>
          <w:sz w:val="22"/>
          <w:szCs w:val="22"/>
          <w:highlight w:val="none"/>
        </w:rPr>
        <w:t>（盖</w:t>
      </w:r>
      <w:r>
        <w:rPr>
          <w:color w:val="auto"/>
          <w:spacing w:val="-3"/>
          <w:sz w:val="22"/>
          <w:szCs w:val="22"/>
          <w:highlight w:val="none"/>
        </w:rPr>
        <w:t>单</w:t>
      </w:r>
      <w:r>
        <w:rPr>
          <w:color w:val="auto"/>
          <w:sz w:val="22"/>
          <w:szCs w:val="22"/>
          <w:highlight w:val="none"/>
        </w:rPr>
        <w:t>位</w:t>
      </w:r>
      <w:r>
        <w:rPr>
          <w:color w:val="auto"/>
          <w:spacing w:val="-3"/>
          <w:sz w:val="22"/>
          <w:szCs w:val="22"/>
          <w:highlight w:val="none"/>
        </w:rPr>
        <w:t>章</w:t>
      </w:r>
      <w:r>
        <w:rPr>
          <w:color w:val="auto"/>
          <w:sz w:val="22"/>
          <w:szCs w:val="22"/>
          <w:highlight w:val="none"/>
        </w:rPr>
        <w:t>）</w:t>
      </w:r>
    </w:p>
    <w:p>
      <w:pPr>
        <w:pStyle w:val="2"/>
        <w:rPr>
          <w:color w:val="auto"/>
          <w:szCs w:val="22"/>
          <w:highlight w:val="none"/>
        </w:rPr>
      </w:pPr>
    </w:p>
    <w:p>
      <w:pPr>
        <w:pStyle w:val="2"/>
        <w:spacing w:before="1"/>
        <w:rPr>
          <w:color w:val="auto"/>
          <w:sz w:val="24"/>
          <w:szCs w:val="22"/>
          <w:highlight w:val="none"/>
        </w:rPr>
      </w:pPr>
    </w:p>
    <w:p>
      <w:pPr>
        <w:pStyle w:val="2"/>
        <w:tabs>
          <w:tab w:val="left" w:pos="5492"/>
          <w:tab w:val="left" w:pos="6332"/>
          <w:tab w:val="left" w:pos="7172"/>
        </w:tabs>
        <w:spacing w:before="72"/>
        <w:ind w:left="4861"/>
        <w:rPr>
          <w:color w:val="auto"/>
          <w:sz w:val="22"/>
          <w:szCs w:val="22"/>
          <w:highlight w:val="none"/>
          <w:u w:val="single"/>
          <w:lang w:val="en-US"/>
        </w:rPr>
      </w:pPr>
      <w:r>
        <w:rPr>
          <w:rFonts w:ascii="Times New Roman" w:eastAsia="Times New Roman"/>
          <w:color w:val="auto"/>
          <w:sz w:val="22"/>
          <w:szCs w:val="22"/>
          <w:highlight w:val="none"/>
          <w:u w:val="single"/>
        </w:rPr>
        <w:t xml:space="preserve"> </w:t>
      </w:r>
      <w:r>
        <w:rPr>
          <w:rFonts w:hint="eastAsia" w:ascii="Times New Roman"/>
          <w:color w:val="auto"/>
          <w:sz w:val="22"/>
          <w:szCs w:val="22"/>
          <w:highlight w:val="none"/>
          <w:u w:val="single"/>
          <w:lang w:val="en-US"/>
        </w:rPr>
        <w:t xml:space="preserve"> </w:t>
      </w:r>
      <w:r>
        <w:rPr>
          <w:rFonts w:ascii="Times New Roman" w:eastAsia="Times New Roman"/>
          <w:color w:val="auto"/>
          <w:sz w:val="22"/>
          <w:szCs w:val="22"/>
          <w:highlight w:val="none"/>
          <w:u w:val="single"/>
        </w:rPr>
        <w:tab/>
      </w:r>
      <w:r>
        <w:rPr>
          <w:color w:val="auto"/>
          <w:sz w:val="22"/>
          <w:szCs w:val="22"/>
          <w:highlight w:val="none"/>
        </w:rPr>
        <w:t>年</w:t>
      </w:r>
      <w:r>
        <w:rPr>
          <w:color w:val="auto"/>
          <w:sz w:val="22"/>
          <w:szCs w:val="22"/>
          <w:highlight w:val="none"/>
          <w:u w:val="single"/>
        </w:rPr>
        <w:t xml:space="preserve"> </w:t>
      </w:r>
      <w:r>
        <w:rPr>
          <w:rFonts w:hint="eastAsia"/>
          <w:color w:val="auto"/>
          <w:sz w:val="22"/>
          <w:szCs w:val="22"/>
          <w:highlight w:val="none"/>
          <w:u w:val="single"/>
          <w:lang w:val="en-US"/>
        </w:rPr>
        <w:t xml:space="preserve"> </w:t>
      </w:r>
      <w:r>
        <w:rPr>
          <w:color w:val="auto"/>
          <w:sz w:val="22"/>
          <w:szCs w:val="22"/>
          <w:highlight w:val="none"/>
          <w:u w:val="single"/>
        </w:rPr>
        <w:tab/>
      </w:r>
      <w:r>
        <w:rPr>
          <w:color w:val="auto"/>
          <w:sz w:val="22"/>
          <w:szCs w:val="22"/>
          <w:highlight w:val="none"/>
        </w:rPr>
        <w:t>月</w:t>
      </w:r>
      <w:r>
        <w:rPr>
          <w:color w:val="auto"/>
          <w:sz w:val="22"/>
          <w:szCs w:val="22"/>
          <w:highlight w:val="none"/>
          <w:u w:val="single"/>
        </w:rPr>
        <w:t xml:space="preserve"> </w:t>
      </w:r>
      <w:r>
        <w:rPr>
          <w:rFonts w:hint="eastAsia"/>
          <w:color w:val="auto"/>
          <w:sz w:val="22"/>
          <w:szCs w:val="22"/>
          <w:highlight w:val="none"/>
          <w:u w:val="single"/>
          <w:lang w:val="en-US"/>
        </w:rPr>
        <w:t xml:space="preserve"> </w:t>
      </w:r>
      <w:r>
        <w:rPr>
          <w:color w:val="auto"/>
          <w:sz w:val="22"/>
          <w:szCs w:val="22"/>
          <w:highlight w:val="none"/>
          <w:u w:val="single"/>
        </w:rPr>
        <w:tab/>
      </w:r>
      <w:bookmarkStart w:id="204" w:name="_Toc13845_WPSOffice_Level1"/>
      <w:bookmarkStart w:id="205" w:name="_Toc20074_WPSOffice_Level1"/>
      <w:r>
        <w:rPr>
          <w:rFonts w:hint="eastAsia"/>
          <w:color w:val="auto"/>
          <w:sz w:val="22"/>
          <w:szCs w:val="22"/>
          <w:highlight w:val="none"/>
          <w:lang w:val="en-US"/>
        </w:rPr>
        <w:t>日</w:t>
      </w:r>
    </w:p>
    <w:p>
      <w:pPr>
        <w:widowControl/>
        <w:autoSpaceDE/>
        <w:autoSpaceDN/>
        <w:rPr>
          <w:color w:val="auto"/>
          <w:sz w:val="24"/>
          <w:szCs w:val="24"/>
          <w:highlight w:val="none"/>
          <w:u w:val="singl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rPr>
          <w:color w:val="auto"/>
          <w:highlight w:val="none"/>
        </w:rPr>
      </w:pPr>
    </w:p>
    <w:p>
      <w:pPr>
        <w:pStyle w:val="35"/>
        <w:rPr>
          <w:color w:val="auto"/>
          <w:highlight w:val="none"/>
        </w:rPr>
      </w:pPr>
    </w:p>
    <w:p>
      <w:pPr>
        <w:pStyle w:val="35"/>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b/>
          <w:bCs/>
          <w:color w:val="auto"/>
          <w:sz w:val="32"/>
          <w:szCs w:val="21"/>
          <w:highlight w:val="none"/>
        </w:rPr>
      </w:pPr>
      <w:r>
        <w:rPr>
          <w:rFonts w:hint="eastAsia"/>
          <w:b/>
          <w:bCs/>
          <w:color w:val="auto"/>
          <w:sz w:val="32"/>
          <w:szCs w:val="21"/>
          <w:highlight w:val="none"/>
          <w:lang w:val="en-US"/>
        </w:rPr>
        <w:t>三、</w:t>
      </w:r>
      <w:r>
        <w:rPr>
          <w:rFonts w:hint="eastAsia"/>
          <w:b/>
          <w:bCs/>
          <w:color w:val="auto"/>
          <w:sz w:val="32"/>
          <w:szCs w:val="21"/>
          <w:highlight w:val="none"/>
        </w:rPr>
        <w:t>授权委托书</w:t>
      </w:r>
    </w:p>
    <w:p>
      <w:pPr>
        <w:spacing w:line="360" w:lineRule="auto"/>
        <w:ind w:left="376" w:leftChars="171" w:firstLine="440" w:firstLineChars="200"/>
        <w:rPr>
          <w:color w:val="auto"/>
          <w:szCs w:val="21"/>
          <w:highlight w:val="none"/>
        </w:rPr>
      </w:pPr>
    </w:p>
    <w:p>
      <w:pPr>
        <w:spacing w:line="360" w:lineRule="auto"/>
        <w:ind w:firstLine="440" w:firstLineChars="200"/>
        <w:rPr>
          <w:color w:val="auto"/>
          <w:szCs w:val="21"/>
          <w:highlight w:val="none"/>
        </w:rPr>
      </w:pPr>
      <w:r>
        <w:rPr>
          <w:rFonts w:hint="eastAsia"/>
          <w:color w:val="auto"/>
          <w:szCs w:val="21"/>
          <w:highlight w:val="none"/>
        </w:rPr>
        <w:t>本人</w:t>
      </w:r>
      <w:r>
        <w:rPr>
          <w:color w:val="auto"/>
          <w:szCs w:val="21"/>
          <w:highlight w:val="none"/>
          <w:u w:val="single"/>
        </w:rPr>
        <w:t xml:space="preserve">           </w:t>
      </w:r>
      <w:r>
        <w:rPr>
          <w:rFonts w:hint="eastAsia"/>
          <w:color w:val="auto"/>
          <w:szCs w:val="21"/>
          <w:highlight w:val="none"/>
        </w:rPr>
        <w:t>系</w:t>
      </w:r>
      <w:r>
        <w:rPr>
          <w:rFonts w:hint="eastAsia"/>
          <w:color w:val="auto"/>
          <w:szCs w:val="21"/>
          <w:highlight w:val="none"/>
          <w:u w:val="single"/>
        </w:rPr>
        <w:t>（投标人名称）</w:t>
      </w:r>
      <w:r>
        <w:rPr>
          <w:rFonts w:hint="eastAsia"/>
          <w:color w:val="auto"/>
          <w:szCs w:val="21"/>
          <w:highlight w:val="none"/>
        </w:rPr>
        <w:t>的法定代表人，现委托本单位人员</w:t>
      </w:r>
      <w:r>
        <w:rPr>
          <w:color w:val="auto"/>
          <w:szCs w:val="21"/>
          <w:highlight w:val="none"/>
          <w:u w:val="single"/>
        </w:rPr>
        <w:t xml:space="preserve">           </w:t>
      </w:r>
      <w:r>
        <w:rPr>
          <w:rFonts w:hint="eastAsia"/>
          <w:color w:val="auto"/>
          <w:szCs w:val="21"/>
          <w:highlight w:val="none"/>
        </w:rPr>
        <w:t>为我方代理人。代理人根据授权，在本项目招标、投标、评标、合同签署等活动过程中所签署的一切文件和处理与之有关的一切事务（向有关行政监督部门投诉另行授权），其法律后果由我方承担。</w:t>
      </w:r>
    </w:p>
    <w:p>
      <w:pPr>
        <w:spacing w:line="360" w:lineRule="auto"/>
        <w:ind w:firstLine="440" w:firstLineChars="200"/>
        <w:rPr>
          <w:color w:val="auto"/>
          <w:szCs w:val="21"/>
          <w:highlight w:val="none"/>
        </w:rPr>
      </w:pPr>
      <w:r>
        <w:rPr>
          <w:rFonts w:hint="eastAsia"/>
          <w:color w:val="auto"/>
          <w:szCs w:val="21"/>
          <w:highlight w:val="none"/>
        </w:rPr>
        <w:t>委托期限：</w:t>
      </w:r>
      <w:r>
        <w:rPr>
          <w:rFonts w:hint="eastAsia"/>
          <w:color w:val="auto"/>
          <w:szCs w:val="21"/>
          <w:highlight w:val="none"/>
          <w:u w:val="single"/>
        </w:rPr>
        <w:t>自本授权委托书签署之日起至第二章“投标人须知”前附表</w:t>
      </w:r>
      <w:r>
        <w:rPr>
          <w:color w:val="auto"/>
          <w:szCs w:val="21"/>
          <w:highlight w:val="none"/>
          <w:u w:val="single"/>
        </w:rPr>
        <w:t>3.3.1</w:t>
      </w:r>
      <w:r>
        <w:rPr>
          <w:rFonts w:hint="eastAsia"/>
          <w:color w:val="auto"/>
          <w:szCs w:val="21"/>
          <w:highlight w:val="none"/>
          <w:u w:val="single"/>
        </w:rPr>
        <w:t>规定的“投标有效期”结束为止</w:t>
      </w:r>
      <w:r>
        <w:rPr>
          <w:rFonts w:hint="eastAsia"/>
          <w:color w:val="auto"/>
          <w:szCs w:val="21"/>
          <w:highlight w:val="none"/>
        </w:rPr>
        <w:t xml:space="preserve">。  </w:t>
      </w:r>
    </w:p>
    <w:p>
      <w:pPr>
        <w:spacing w:line="360" w:lineRule="auto"/>
        <w:ind w:firstLine="440" w:firstLineChars="200"/>
        <w:rPr>
          <w:color w:val="auto"/>
          <w:szCs w:val="21"/>
          <w:highlight w:val="none"/>
        </w:rPr>
      </w:pPr>
      <w:r>
        <w:rPr>
          <w:rFonts w:hint="eastAsia"/>
          <w:color w:val="auto"/>
          <w:szCs w:val="21"/>
          <w:highlight w:val="none"/>
        </w:rPr>
        <w:t>代理人无转委托权。</w:t>
      </w:r>
    </w:p>
    <w:p>
      <w:pPr>
        <w:spacing w:line="360" w:lineRule="auto"/>
        <w:ind w:left="376" w:leftChars="171" w:firstLine="440" w:firstLineChars="200"/>
        <w:rPr>
          <w:color w:val="auto"/>
          <w:szCs w:val="21"/>
          <w:highlight w:val="none"/>
        </w:rPr>
      </w:pPr>
    </w:p>
    <w:p>
      <w:pPr>
        <w:spacing w:line="360" w:lineRule="auto"/>
        <w:rPr>
          <w:color w:val="auto"/>
          <w:szCs w:val="21"/>
          <w:highlight w:val="none"/>
        </w:rPr>
      </w:pPr>
      <w:r>
        <w:rPr>
          <w:rFonts w:hint="eastAsia"/>
          <w:color w:val="auto"/>
          <w:szCs w:val="21"/>
          <w:highlight w:val="none"/>
        </w:rPr>
        <w:t>附：委托代理人身份证（正反面）复印件或扫描件。</w:t>
      </w:r>
    </w:p>
    <w:p>
      <w:pPr>
        <w:spacing w:line="360" w:lineRule="auto"/>
        <w:ind w:left="376" w:leftChars="171" w:firstLine="440" w:firstLineChars="200"/>
        <w:rPr>
          <w:color w:val="auto"/>
          <w:szCs w:val="21"/>
          <w:highlight w:val="none"/>
        </w:rPr>
      </w:pPr>
    </w:p>
    <w:p>
      <w:pPr>
        <w:spacing w:line="360" w:lineRule="auto"/>
        <w:ind w:left="376" w:leftChars="171" w:firstLine="440" w:firstLineChars="200"/>
        <w:rPr>
          <w:color w:val="auto"/>
          <w:szCs w:val="21"/>
          <w:highlight w:val="none"/>
        </w:rPr>
      </w:pPr>
    </w:p>
    <w:p>
      <w:pPr>
        <w:spacing w:line="360" w:lineRule="auto"/>
        <w:ind w:firstLine="3300" w:firstLineChars="1500"/>
        <w:jc w:val="right"/>
        <w:rPr>
          <w:color w:val="auto"/>
          <w:szCs w:val="21"/>
          <w:highlight w:val="none"/>
        </w:rPr>
      </w:pPr>
      <w:r>
        <w:rPr>
          <w:rFonts w:hint="eastAsia"/>
          <w:color w:val="auto"/>
          <w:szCs w:val="21"/>
          <w:highlight w:val="none"/>
        </w:rPr>
        <w:t>投标人：</w:t>
      </w:r>
      <w:r>
        <w:rPr>
          <w:rFonts w:hint="eastAsia"/>
          <w:color w:val="auto"/>
          <w:szCs w:val="21"/>
          <w:highlight w:val="none"/>
          <w:u w:val="single"/>
          <w:lang w:val="en-US"/>
        </w:rPr>
        <w:t xml:space="preserve">              </w:t>
      </w:r>
      <w:r>
        <w:rPr>
          <w:rFonts w:hint="eastAsia"/>
          <w:color w:val="auto"/>
          <w:szCs w:val="21"/>
          <w:highlight w:val="none"/>
        </w:rPr>
        <w:t>（盖单位章）</w:t>
      </w:r>
    </w:p>
    <w:p>
      <w:pPr>
        <w:spacing w:line="360" w:lineRule="auto"/>
        <w:ind w:firstLine="3300" w:firstLineChars="1500"/>
        <w:jc w:val="right"/>
        <w:rPr>
          <w:color w:val="auto"/>
          <w:szCs w:val="21"/>
          <w:highlight w:val="none"/>
        </w:rPr>
      </w:pPr>
      <w:r>
        <w:rPr>
          <w:rFonts w:hint="eastAsia"/>
          <w:color w:val="auto"/>
          <w:szCs w:val="21"/>
          <w:highlight w:val="none"/>
        </w:rPr>
        <w:t>法定代表人：</w:t>
      </w:r>
      <w:r>
        <w:rPr>
          <w:rFonts w:hint="eastAsia"/>
          <w:color w:val="auto"/>
          <w:szCs w:val="21"/>
          <w:highlight w:val="none"/>
          <w:u w:val="single"/>
          <w:lang w:val="en-US"/>
        </w:rPr>
        <w:t xml:space="preserve">        </w:t>
      </w:r>
      <w:r>
        <w:rPr>
          <w:rFonts w:hint="eastAsia"/>
          <w:color w:val="auto"/>
          <w:szCs w:val="21"/>
          <w:highlight w:val="none"/>
        </w:rPr>
        <w:t>（签字或盖章）</w:t>
      </w:r>
    </w:p>
    <w:p>
      <w:pPr>
        <w:spacing w:line="360" w:lineRule="auto"/>
        <w:ind w:firstLine="3300" w:firstLineChars="1500"/>
        <w:jc w:val="right"/>
        <w:rPr>
          <w:color w:val="auto"/>
          <w:szCs w:val="21"/>
          <w:highlight w:val="none"/>
        </w:rPr>
      </w:pPr>
      <w:r>
        <w:rPr>
          <w:rFonts w:hint="eastAsia"/>
          <w:color w:val="auto"/>
          <w:szCs w:val="21"/>
          <w:highlight w:val="none"/>
        </w:rPr>
        <w:t>委托代理人：</w:t>
      </w:r>
      <w:r>
        <w:rPr>
          <w:rFonts w:hint="eastAsia"/>
          <w:color w:val="auto"/>
          <w:szCs w:val="20"/>
          <w:highlight w:val="none"/>
          <w:u w:val="single"/>
          <w:lang w:val="en-US"/>
        </w:rPr>
        <w:t xml:space="preserve">              </w:t>
      </w:r>
      <w:r>
        <w:rPr>
          <w:rFonts w:hint="eastAsia"/>
          <w:color w:val="auto"/>
          <w:szCs w:val="21"/>
          <w:highlight w:val="none"/>
        </w:rPr>
        <w:t>（签字）</w:t>
      </w:r>
    </w:p>
    <w:p>
      <w:pPr>
        <w:spacing w:line="360" w:lineRule="auto"/>
        <w:ind w:left="376" w:leftChars="171" w:firstLine="5610" w:firstLineChars="2550"/>
        <w:rPr>
          <w:color w:val="auto"/>
          <w:szCs w:val="21"/>
          <w:highlight w:val="none"/>
        </w:rPr>
      </w:pPr>
    </w:p>
    <w:p>
      <w:pPr>
        <w:spacing w:line="360" w:lineRule="auto"/>
        <w:jc w:val="right"/>
        <w:rPr>
          <w:color w:val="auto"/>
          <w:szCs w:val="21"/>
          <w:highlight w:val="none"/>
        </w:rPr>
      </w:pPr>
      <w:r>
        <w:rPr>
          <w:rFonts w:hint="eastAsia"/>
          <w:color w:val="auto"/>
          <w:szCs w:val="20"/>
          <w:highlight w:val="none"/>
          <w:u w:val="single"/>
          <w:lang w:val="en-US"/>
        </w:rPr>
        <w:t xml:space="preserve">     </w:t>
      </w:r>
      <w:r>
        <w:rPr>
          <w:rFonts w:hint="eastAsia"/>
          <w:color w:val="auto"/>
          <w:szCs w:val="21"/>
          <w:highlight w:val="none"/>
        </w:rPr>
        <w:t>年</w:t>
      </w:r>
      <w:r>
        <w:rPr>
          <w:rFonts w:hint="eastAsia"/>
          <w:color w:val="auto"/>
          <w:szCs w:val="20"/>
          <w:highlight w:val="none"/>
          <w:u w:val="single"/>
          <w:lang w:val="en-US"/>
        </w:rPr>
        <w:t xml:space="preserve">      </w:t>
      </w:r>
      <w:r>
        <w:rPr>
          <w:rFonts w:hint="eastAsia"/>
          <w:color w:val="auto"/>
          <w:szCs w:val="21"/>
          <w:highlight w:val="none"/>
        </w:rPr>
        <w:t>月</w:t>
      </w:r>
      <w:r>
        <w:rPr>
          <w:rFonts w:hint="eastAsia"/>
          <w:color w:val="auto"/>
          <w:szCs w:val="20"/>
          <w:highlight w:val="none"/>
          <w:u w:val="single"/>
          <w:lang w:val="en-US"/>
        </w:rPr>
        <w:t xml:space="preserve">     </w:t>
      </w:r>
      <w:r>
        <w:rPr>
          <w:rFonts w:hint="eastAsia"/>
          <w:color w:val="auto"/>
          <w:szCs w:val="21"/>
          <w:highlight w:val="none"/>
        </w:rPr>
        <w:t>日</w:t>
      </w:r>
    </w:p>
    <w:p>
      <w:pPr>
        <w:pStyle w:val="2"/>
        <w:tabs>
          <w:tab w:val="left" w:pos="5492"/>
          <w:tab w:val="left" w:pos="6332"/>
          <w:tab w:val="left" w:pos="7172"/>
        </w:tabs>
        <w:spacing w:before="72"/>
        <w:ind w:left="4861"/>
        <w:rPr>
          <w:color w:val="auto"/>
          <w:szCs w:val="32"/>
          <w:highlight w:val="none"/>
        </w:rPr>
      </w:pPr>
      <w:r>
        <w:rPr>
          <w:rFonts w:hint="eastAsia" w:ascii="Microsoft JhengHei"/>
          <w:b/>
          <w:color w:val="auto"/>
          <w:sz w:val="32"/>
          <w:highlight w:val="none"/>
        </w:rPr>
        <w:br w:type="page"/>
      </w:r>
    </w:p>
    <w:p>
      <w:pPr>
        <w:jc w:val="center"/>
        <w:rPr>
          <w:b/>
          <w:bCs/>
          <w:color w:val="auto"/>
          <w:sz w:val="32"/>
          <w:szCs w:val="21"/>
          <w:highlight w:val="none"/>
        </w:rPr>
      </w:pPr>
      <w:bookmarkStart w:id="206" w:name="_Toc459645001"/>
      <w:r>
        <w:rPr>
          <w:b/>
          <w:bCs/>
          <w:color w:val="auto"/>
          <w:sz w:val="32"/>
          <w:szCs w:val="21"/>
          <w:highlight w:val="none"/>
        </w:rPr>
        <w:t>四、投标人基本情况表</w:t>
      </w:r>
      <w:bookmarkEnd w:id="206"/>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626"/>
        <w:gridCol w:w="709"/>
        <w:gridCol w:w="717"/>
        <w:gridCol w:w="417"/>
        <w:gridCol w:w="1108"/>
        <w:gridCol w:w="11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Align w:val="center"/>
          </w:tcPr>
          <w:p>
            <w:pPr>
              <w:jc w:val="center"/>
              <w:rPr>
                <w:color w:val="auto"/>
                <w:szCs w:val="21"/>
                <w:highlight w:val="none"/>
              </w:rPr>
            </w:pPr>
            <w:r>
              <w:rPr>
                <w:color w:val="auto"/>
                <w:szCs w:val="21"/>
                <w:highlight w:val="none"/>
              </w:rPr>
              <w:t>单位名称</w:t>
            </w:r>
          </w:p>
          <w:p>
            <w:pPr>
              <w:jc w:val="center"/>
              <w:rPr>
                <w:color w:val="auto"/>
                <w:szCs w:val="21"/>
                <w:highlight w:val="none"/>
              </w:rPr>
            </w:pPr>
            <w:r>
              <w:rPr>
                <w:color w:val="auto"/>
                <w:szCs w:val="21"/>
                <w:highlight w:val="none"/>
              </w:rPr>
              <w:t>（公章）</w:t>
            </w:r>
          </w:p>
        </w:tc>
        <w:tc>
          <w:tcPr>
            <w:tcW w:w="783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Align w:val="center"/>
          </w:tcPr>
          <w:p>
            <w:pPr>
              <w:jc w:val="center"/>
              <w:rPr>
                <w:color w:val="auto"/>
                <w:szCs w:val="21"/>
                <w:highlight w:val="none"/>
              </w:rPr>
            </w:pPr>
            <w:r>
              <w:rPr>
                <w:color w:val="auto"/>
                <w:szCs w:val="21"/>
                <w:highlight w:val="none"/>
              </w:rPr>
              <w:t>单位地址</w:t>
            </w:r>
          </w:p>
        </w:tc>
        <w:tc>
          <w:tcPr>
            <w:tcW w:w="783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Align w:val="center"/>
          </w:tcPr>
          <w:p>
            <w:pPr>
              <w:jc w:val="center"/>
              <w:rPr>
                <w:color w:val="auto"/>
                <w:szCs w:val="21"/>
                <w:highlight w:val="none"/>
              </w:rPr>
            </w:pPr>
            <w:r>
              <w:rPr>
                <w:color w:val="auto"/>
                <w:szCs w:val="21"/>
                <w:highlight w:val="none"/>
              </w:rPr>
              <w:t>主管部门</w:t>
            </w:r>
          </w:p>
        </w:tc>
        <w:tc>
          <w:tcPr>
            <w:tcW w:w="783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5" w:type="dxa"/>
            <w:vAlign w:val="center"/>
          </w:tcPr>
          <w:p>
            <w:pPr>
              <w:jc w:val="center"/>
              <w:rPr>
                <w:color w:val="auto"/>
                <w:szCs w:val="21"/>
                <w:highlight w:val="none"/>
              </w:rPr>
            </w:pPr>
            <w:r>
              <w:rPr>
                <w:color w:val="auto"/>
                <w:szCs w:val="21"/>
                <w:highlight w:val="none"/>
              </w:rPr>
              <w:t>成立时间</w:t>
            </w:r>
          </w:p>
        </w:tc>
        <w:tc>
          <w:tcPr>
            <w:tcW w:w="1527" w:type="dxa"/>
            <w:vAlign w:val="center"/>
          </w:tcPr>
          <w:p>
            <w:pPr>
              <w:jc w:val="center"/>
              <w:rPr>
                <w:color w:val="auto"/>
                <w:szCs w:val="21"/>
                <w:highlight w:val="none"/>
              </w:rPr>
            </w:pPr>
          </w:p>
        </w:tc>
        <w:tc>
          <w:tcPr>
            <w:tcW w:w="2335" w:type="dxa"/>
            <w:gridSpan w:val="2"/>
            <w:vAlign w:val="center"/>
          </w:tcPr>
          <w:p>
            <w:pPr>
              <w:jc w:val="both"/>
              <w:rPr>
                <w:color w:val="auto"/>
                <w:szCs w:val="21"/>
                <w:highlight w:val="none"/>
              </w:rPr>
            </w:pPr>
            <w:r>
              <w:rPr>
                <w:color w:val="auto"/>
                <w:szCs w:val="21"/>
                <w:highlight w:val="none"/>
              </w:rPr>
              <w:t>营业执照编号（事业单位法人证书）</w:t>
            </w:r>
          </w:p>
        </w:tc>
        <w:tc>
          <w:tcPr>
            <w:tcW w:w="1134" w:type="dxa"/>
            <w:gridSpan w:val="2"/>
            <w:vAlign w:val="center"/>
          </w:tcPr>
          <w:p>
            <w:pPr>
              <w:jc w:val="center"/>
              <w:rPr>
                <w:color w:val="auto"/>
                <w:szCs w:val="21"/>
                <w:highlight w:val="none"/>
              </w:rPr>
            </w:pPr>
          </w:p>
        </w:tc>
        <w:tc>
          <w:tcPr>
            <w:tcW w:w="1219" w:type="dxa"/>
            <w:gridSpan w:val="2"/>
            <w:vAlign w:val="center"/>
          </w:tcPr>
          <w:p>
            <w:pPr>
              <w:jc w:val="center"/>
              <w:rPr>
                <w:color w:val="auto"/>
                <w:szCs w:val="21"/>
                <w:highlight w:val="none"/>
              </w:rPr>
            </w:pPr>
            <w:r>
              <w:rPr>
                <w:color w:val="auto"/>
                <w:szCs w:val="21"/>
                <w:highlight w:val="none"/>
              </w:rPr>
              <w:t>税务登记证编号</w:t>
            </w:r>
          </w:p>
        </w:tc>
        <w:tc>
          <w:tcPr>
            <w:tcW w:w="161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5" w:type="dxa"/>
            <w:vAlign w:val="center"/>
          </w:tcPr>
          <w:p>
            <w:pPr>
              <w:jc w:val="center"/>
              <w:rPr>
                <w:color w:val="auto"/>
                <w:szCs w:val="21"/>
                <w:highlight w:val="none"/>
              </w:rPr>
            </w:pPr>
            <w:r>
              <w:rPr>
                <w:color w:val="auto"/>
                <w:szCs w:val="21"/>
                <w:highlight w:val="none"/>
              </w:rPr>
              <w:t>单位性质</w:t>
            </w:r>
          </w:p>
        </w:tc>
        <w:tc>
          <w:tcPr>
            <w:tcW w:w="1527" w:type="dxa"/>
            <w:vAlign w:val="center"/>
          </w:tcPr>
          <w:p>
            <w:pPr>
              <w:jc w:val="center"/>
              <w:rPr>
                <w:color w:val="auto"/>
                <w:szCs w:val="21"/>
                <w:highlight w:val="none"/>
              </w:rPr>
            </w:pPr>
          </w:p>
        </w:tc>
        <w:tc>
          <w:tcPr>
            <w:tcW w:w="2335" w:type="dxa"/>
            <w:gridSpan w:val="2"/>
            <w:vAlign w:val="center"/>
          </w:tcPr>
          <w:p>
            <w:pPr>
              <w:jc w:val="center"/>
              <w:rPr>
                <w:color w:val="auto"/>
                <w:szCs w:val="21"/>
                <w:highlight w:val="none"/>
              </w:rPr>
            </w:pPr>
            <w:r>
              <w:rPr>
                <w:color w:val="auto"/>
                <w:szCs w:val="21"/>
                <w:highlight w:val="none"/>
              </w:rPr>
              <w:t>开户银行及账号</w:t>
            </w:r>
          </w:p>
        </w:tc>
        <w:tc>
          <w:tcPr>
            <w:tcW w:w="1134" w:type="dxa"/>
            <w:gridSpan w:val="2"/>
            <w:vAlign w:val="center"/>
          </w:tcPr>
          <w:p>
            <w:pPr>
              <w:jc w:val="center"/>
              <w:rPr>
                <w:color w:val="auto"/>
                <w:szCs w:val="21"/>
                <w:highlight w:val="none"/>
              </w:rPr>
            </w:pPr>
          </w:p>
        </w:tc>
        <w:tc>
          <w:tcPr>
            <w:tcW w:w="1219" w:type="dxa"/>
            <w:gridSpan w:val="2"/>
            <w:vAlign w:val="center"/>
          </w:tcPr>
          <w:p>
            <w:pPr>
              <w:jc w:val="center"/>
              <w:rPr>
                <w:color w:val="auto"/>
                <w:szCs w:val="21"/>
                <w:highlight w:val="none"/>
              </w:rPr>
            </w:pPr>
            <w:r>
              <w:rPr>
                <w:color w:val="auto"/>
                <w:szCs w:val="21"/>
                <w:highlight w:val="none"/>
              </w:rPr>
              <w:t>注册资金</w:t>
            </w:r>
          </w:p>
          <w:p>
            <w:pPr>
              <w:jc w:val="center"/>
              <w:rPr>
                <w:color w:val="auto"/>
                <w:szCs w:val="21"/>
                <w:highlight w:val="none"/>
              </w:rPr>
            </w:pPr>
            <w:r>
              <w:rPr>
                <w:color w:val="auto"/>
                <w:szCs w:val="21"/>
                <w:highlight w:val="none"/>
              </w:rPr>
              <w:t>（万元）</w:t>
            </w:r>
          </w:p>
        </w:tc>
        <w:tc>
          <w:tcPr>
            <w:tcW w:w="161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5" w:type="dxa"/>
            <w:vAlign w:val="center"/>
          </w:tcPr>
          <w:p>
            <w:pPr>
              <w:jc w:val="center"/>
              <w:rPr>
                <w:color w:val="auto"/>
                <w:szCs w:val="21"/>
                <w:highlight w:val="none"/>
              </w:rPr>
            </w:pPr>
            <w:r>
              <w:rPr>
                <w:rFonts w:hint="eastAsia"/>
                <w:color w:val="auto"/>
                <w:szCs w:val="21"/>
                <w:highlight w:val="none"/>
              </w:rPr>
              <w:t>造价</w:t>
            </w:r>
            <w:r>
              <w:rPr>
                <w:color w:val="auto"/>
                <w:szCs w:val="21"/>
                <w:highlight w:val="none"/>
              </w:rPr>
              <w:t>资质等级</w:t>
            </w:r>
          </w:p>
        </w:tc>
        <w:tc>
          <w:tcPr>
            <w:tcW w:w="1527" w:type="dxa"/>
          </w:tcPr>
          <w:p>
            <w:pPr>
              <w:rPr>
                <w:color w:val="auto"/>
                <w:szCs w:val="21"/>
                <w:highlight w:val="none"/>
              </w:rPr>
            </w:pPr>
          </w:p>
        </w:tc>
        <w:tc>
          <w:tcPr>
            <w:tcW w:w="2335" w:type="dxa"/>
            <w:gridSpan w:val="2"/>
            <w:vAlign w:val="center"/>
          </w:tcPr>
          <w:p>
            <w:pPr>
              <w:jc w:val="center"/>
              <w:rPr>
                <w:color w:val="auto"/>
                <w:szCs w:val="21"/>
                <w:highlight w:val="none"/>
              </w:rPr>
            </w:pPr>
            <w:r>
              <w:rPr>
                <w:color w:val="auto"/>
                <w:szCs w:val="21"/>
                <w:highlight w:val="none"/>
              </w:rPr>
              <w:t>证号</w:t>
            </w:r>
          </w:p>
        </w:tc>
        <w:tc>
          <w:tcPr>
            <w:tcW w:w="1134" w:type="dxa"/>
            <w:gridSpan w:val="2"/>
          </w:tcPr>
          <w:p>
            <w:pPr>
              <w:rPr>
                <w:color w:val="auto"/>
                <w:szCs w:val="21"/>
                <w:highlight w:val="none"/>
              </w:rPr>
            </w:pPr>
          </w:p>
        </w:tc>
        <w:tc>
          <w:tcPr>
            <w:tcW w:w="1219" w:type="dxa"/>
            <w:gridSpan w:val="2"/>
            <w:vAlign w:val="center"/>
          </w:tcPr>
          <w:p>
            <w:pPr>
              <w:jc w:val="center"/>
              <w:rPr>
                <w:color w:val="auto"/>
                <w:szCs w:val="21"/>
                <w:highlight w:val="none"/>
              </w:rPr>
            </w:pPr>
            <w:r>
              <w:rPr>
                <w:color w:val="auto"/>
                <w:szCs w:val="21"/>
                <w:highlight w:val="none"/>
              </w:rPr>
              <w:t>发证单位</w:t>
            </w:r>
          </w:p>
        </w:tc>
        <w:tc>
          <w:tcPr>
            <w:tcW w:w="161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restart"/>
            <w:vAlign w:val="center"/>
          </w:tcPr>
          <w:p>
            <w:pPr>
              <w:jc w:val="center"/>
              <w:rPr>
                <w:color w:val="auto"/>
                <w:szCs w:val="21"/>
                <w:highlight w:val="none"/>
              </w:rPr>
            </w:pPr>
            <w:r>
              <w:rPr>
                <w:color w:val="auto"/>
                <w:szCs w:val="21"/>
                <w:highlight w:val="none"/>
              </w:rPr>
              <w:t>联系人</w:t>
            </w:r>
          </w:p>
        </w:tc>
        <w:tc>
          <w:tcPr>
            <w:tcW w:w="1527" w:type="dxa"/>
            <w:vMerge w:val="restart"/>
            <w:vAlign w:val="center"/>
          </w:tcPr>
          <w:p>
            <w:pPr>
              <w:jc w:val="center"/>
              <w:rPr>
                <w:color w:val="auto"/>
                <w:szCs w:val="21"/>
                <w:highlight w:val="none"/>
              </w:rPr>
            </w:pPr>
          </w:p>
        </w:tc>
        <w:tc>
          <w:tcPr>
            <w:tcW w:w="2335" w:type="dxa"/>
            <w:gridSpan w:val="2"/>
            <w:vAlign w:val="center"/>
          </w:tcPr>
          <w:p>
            <w:pPr>
              <w:jc w:val="center"/>
              <w:rPr>
                <w:color w:val="auto"/>
                <w:szCs w:val="21"/>
                <w:highlight w:val="none"/>
              </w:rPr>
            </w:pPr>
            <w:r>
              <w:rPr>
                <w:color w:val="auto"/>
                <w:szCs w:val="21"/>
                <w:highlight w:val="none"/>
              </w:rPr>
              <w:t>电话</w:t>
            </w:r>
          </w:p>
        </w:tc>
        <w:tc>
          <w:tcPr>
            <w:tcW w:w="3969" w:type="dxa"/>
            <w:gridSpan w:val="5"/>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continue"/>
            <w:vAlign w:val="center"/>
          </w:tcPr>
          <w:p>
            <w:pPr>
              <w:jc w:val="center"/>
              <w:rPr>
                <w:color w:val="auto"/>
                <w:szCs w:val="21"/>
                <w:highlight w:val="none"/>
              </w:rPr>
            </w:pPr>
          </w:p>
        </w:tc>
        <w:tc>
          <w:tcPr>
            <w:tcW w:w="1527" w:type="dxa"/>
            <w:vMerge w:val="continue"/>
            <w:vAlign w:val="center"/>
          </w:tcPr>
          <w:p>
            <w:pPr>
              <w:jc w:val="center"/>
              <w:rPr>
                <w:color w:val="auto"/>
                <w:szCs w:val="21"/>
                <w:highlight w:val="none"/>
              </w:rPr>
            </w:pPr>
          </w:p>
        </w:tc>
        <w:tc>
          <w:tcPr>
            <w:tcW w:w="2335" w:type="dxa"/>
            <w:gridSpan w:val="2"/>
            <w:vAlign w:val="center"/>
          </w:tcPr>
          <w:p>
            <w:pPr>
              <w:jc w:val="center"/>
              <w:rPr>
                <w:color w:val="auto"/>
                <w:szCs w:val="21"/>
                <w:highlight w:val="none"/>
              </w:rPr>
            </w:pPr>
            <w:r>
              <w:rPr>
                <w:color w:val="auto"/>
                <w:szCs w:val="21"/>
                <w:highlight w:val="none"/>
              </w:rPr>
              <w:t>传真</w:t>
            </w:r>
          </w:p>
        </w:tc>
        <w:tc>
          <w:tcPr>
            <w:tcW w:w="3969" w:type="dxa"/>
            <w:gridSpan w:val="5"/>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restart"/>
            <w:vAlign w:val="center"/>
          </w:tcPr>
          <w:p>
            <w:pPr>
              <w:jc w:val="center"/>
              <w:rPr>
                <w:color w:val="auto"/>
                <w:szCs w:val="21"/>
                <w:highlight w:val="none"/>
              </w:rPr>
            </w:pPr>
            <w:r>
              <w:rPr>
                <w:color w:val="auto"/>
                <w:szCs w:val="21"/>
                <w:highlight w:val="none"/>
              </w:rPr>
              <w:t>职工概况</w:t>
            </w:r>
          </w:p>
        </w:tc>
        <w:tc>
          <w:tcPr>
            <w:tcW w:w="1527" w:type="dxa"/>
            <w:vAlign w:val="center"/>
          </w:tcPr>
          <w:p>
            <w:pPr>
              <w:jc w:val="center"/>
              <w:rPr>
                <w:color w:val="auto"/>
                <w:szCs w:val="21"/>
                <w:highlight w:val="none"/>
              </w:rPr>
            </w:pPr>
            <w:r>
              <w:rPr>
                <w:color w:val="auto"/>
                <w:szCs w:val="21"/>
                <w:highlight w:val="none"/>
              </w:rPr>
              <w:t>职工总数</w:t>
            </w:r>
          </w:p>
        </w:tc>
        <w:tc>
          <w:tcPr>
            <w:tcW w:w="2335" w:type="dxa"/>
            <w:gridSpan w:val="2"/>
            <w:vAlign w:val="center"/>
          </w:tcPr>
          <w:p>
            <w:pPr>
              <w:jc w:val="center"/>
              <w:rPr>
                <w:color w:val="auto"/>
                <w:szCs w:val="21"/>
                <w:highlight w:val="none"/>
              </w:rPr>
            </w:pPr>
          </w:p>
        </w:tc>
        <w:tc>
          <w:tcPr>
            <w:tcW w:w="2242" w:type="dxa"/>
            <w:gridSpan w:val="3"/>
            <w:vAlign w:val="center"/>
          </w:tcPr>
          <w:p>
            <w:pPr>
              <w:jc w:val="center"/>
              <w:rPr>
                <w:color w:val="auto"/>
                <w:szCs w:val="21"/>
                <w:highlight w:val="none"/>
              </w:rPr>
            </w:pPr>
            <w:r>
              <w:rPr>
                <w:color w:val="auto"/>
                <w:szCs w:val="21"/>
                <w:highlight w:val="none"/>
              </w:rPr>
              <w:t>其中：技术人员数</w:t>
            </w: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r>
              <w:rPr>
                <w:color w:val="auto"/>
                <w:szCs w:val="21"/>
                <w:highlight w:val="none"/>
              </w:rPr>
              <w:t>教授级高工</w:t>
            </w:r>
          </w:p>
        </w:tc>
        <w:tc>
          <w:tcPr>
            <w:tcW w:w="2335" w:type="dxa"/>
            <w:gridSpan w:val="2"/>
            <w:vAlign w:val="center"/>
          </w:tcPr>
          <w:p>
            <w:pPr>
              <w:jc w:val="center"/>
              <w:rPr>
                <w:color w:val="auto"/>
                <w:szCs w:val="21"/>
                <w:highlight w:val="none"/>
              </w:rPr>
            </w:pPr>
          </w:p>
        </w:tc>
        <w:tc>
          <w:tcPr>
            <w:tcW w:w="2242" w:type="dxa"/>
            <w:gridSpan w:val="3"/>
            <w:vAlign w:val="center"/>
          </w:tcPr>
          <w:p>
            <w:pPr>
              <w:jc w:val="center"/>
              <w:rPr>
                <w:color w:val="auto"/>
                <w:szCs w:val="21"/>
                <w:highlight w:val="none"/>
              </w:rPr>
            </w:pPr>
            <w:r>
              <w:rPr>
                <w:color w:val="auto"/>
                <w:szCs w:val="21"/>
                <w:highlight w:val="none"/>
              </w:rPr>
              <w:t>工程师</w:t>
            </w: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r>
              <w:rPr>
                <w:color w:val="auto"/>
                <w:szCs w:val="21"/>
                <w:highlight w:val="none"/>
              </w:rPr>
              <w:t>技工和技术员</w:t>
            </w:r>
          </w:p>
        </w:tc>
        <w:tc>
          <w:tcPr>
            <w:tcW w:w="2335" w:type="dxa"/>
            <w:gridSpan w:val="2"/>
            <w:vAlign w:val="center"/>
          </w:tcPr>
          <w:p>
            <w:pPr>
              <w:jc w:val="center"/>
              <w:rPr>
                <w:color w:val="auto"/>
                <w:szCs w:val="21"/>
                <w:highlight w:val="none"/>
              </w:rPr>
            </w:pPr>
          </w:p>
        </w:tc>
        <w:tc>
          <w:tcPr>
            <w:tcW w:w="2242" w:type="dxa"/>
            <w:gridSpan w:val="3"/>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continue"/>
            <w:vAlign w:val="center"/>
          </w:tcPr>
          <w:p>
            <w:pPr>
              <w:jc w:val="center"/>
              <w:rPr>
                <w:color w:val="auto"/>
                <w:szCs w:val="21"/>
                <w:highlight w:val="none"/>
              </w:rPr>
            </w:pPr>
          </w:p>
        </w:tc>
        <w:tc>
          <w:tcPr>
            <w:tcW w:w="7831" w:type="dxa"/>
            <w:gridSpan w:val="8"/>
            <w:vAlign w:val="center"/>
          </w:tcPr>
          <w:p>
            <w:pPr>
              <w:jc w:val="center"/>
              <w:rPr>
                <w:color w:val="auto"/>
                <w:szCs w:val="21"/>
                <w:highlight w:val="none"/>
              </w:rPr>
            </w:pPr>
            <w:r>
              <w:rPr>
                <w:color w:val="auto"/>
                <w:szCs w:val="21"/>
                <w:highlight w:val="none"/>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r>
              <w:rPr>
                <w:color w:val="auto"/>
                <w:szCs w:val="21"/>
                <w:highlight w:val="none"/>
              </w:rPr>
              <w:t>姓名</w:t>
            </w:r>
          </w:p>
        </w:tc>
        <w:tc>
          <w:tcPr>
            <w:tcW w:w="1626" w:type="dxa"/>
            <w:vAlign w:val="center"/>
          </w:tcPr>
          <w:p>
            <w:pPr>
              <w:jc w:val="center"/>
              <w:rPr>
                <w:color w:val="auto"/>
                <w:szCs w:val="21"/>
                <w:highlight w:val="none"/>
              </w:rPr>
            </w:pPr>
            <w:r>
              <w:rPr>
                <w:color w:val="auto"/>
                <w:szCs w:val="21"/>
                <w:highlight w:val="none"/>
              </w:rPr>
              <w:t>职务及职称</w:t>
            </w:r>
          </w:p>
        </w:tc>
        <w:tc>
          <w:tcPr>
            <w:tcW w:w="1426" w:type="dxa"/>
            <w:gridSpan w:val="2"/>
            <w:vAlign w:val="center"/>
          </w:tcPr>
          <w:p>
            <w:pPr>
              <w:jc w:val="center"/>
              <w:rPr>
                <w:color w:val="auto"/>
                <w:szCs w:val="21"/>
                <w:highlight w:val="none"/>
              </w:rPr>
            </w:pPr>
            <w:r>
              <w:rPr>
                <w:color w:val="auto"/>
                <w:szCs w:val="21"/>
                <w:highlight w:val="none"/>
              </w:rPr>
              <w:t>年龄</w:t>
            </w:r>
          </w:p>
        </w:tc>
        <w:tc>
          <w:tcPr>
            <w:tcW w:w="1525" w:type="dxa"/>
            <w:gridSpan w:val="2"/>
            <w:vAlign w:val="center"/>
          </w:tcPr>
          <w:p>
            <w:pPr>
              <w:jc w:val="center"/>
              <w:rPr>
                <w:color w:val="auto"/>
                <w:szCs w:val="21"/>
                <w:highlight w:val="none"/>
              </w:rPr>
            </w:pPr>
            <w:r>
              <w:rPr>
                <w:color w:val="auto"/>
                <w:szCs w:val="21"/>
                <w:highlight w:val="none"/>
              </w:rPr>
              <w:t>专业</w:t>
            </w:r>
          </w:p>
        </w:tc>
        <w:tc>
          <w:tcPr>
            <w:tcW w:w="1727" w:type="dxa"/>
            <w:gridSpan w:val="2"/>
            <w:vAlign w:val="center"/>
          </w:tcPr>
          <w:p>
            <w:pPr>
              <w:jc w:val="center"/>
              <w:rPr>
                <w:color w:val="auto"/>
                <w:szCs w:val="21"/>
                <w:highlight w:val="none"/>
              </w:rPr>
            </w:pPr>
            <w:r>
              <w:rPr>
                <w:color w:val="auto"/>
                <w:szCs w:val="21"/>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9"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525" w:type="dxa"/>
            <w:vMerge w:val="continue"/>
            <w:vAlign w:val="center"/>
          </w:tcPr>
          <w:p>
            <w:pPr>
              <w:jc w:val="center"/>
              <w:rPr>
                <w:color w:val="auto"/>
                <w:szCs w:val="21"/>
                <w:highlight w:val="none"/>
              </w:rPr>
            </w:pPr>
          </w:p>
        </w:tc>
        <w:tc>
          <w:tcPr>
            <w:tcW w:w="1527" w:type="dxa"/>
            <w:vAlign w:val="center"/>
          </w:tcPr>
          <w:p>
            <w:pPr>
              <w:jc w:val="center"/>
              <w:rPr>
                <w:color w:val="auto"/>
                <w:szCs w:val="21"/>
                <w:highlight w:val="none"/>
              </w:rPr>
            </w:pPr>
          </w:p>
        </w:tc>
        <w:tc>
          <w:tcPr>
            <w:tcW w:w="1626" w:type="dxa"/>
            <w:vAlign w:val="center"/>
          </w:tcPr>
          <w:p>
            <w:pPr>
              <w:jc w:val="center"/>
              <w:rPr>
                <w:color w:val="auto"/>
                <w:szCs w:val="21"/>
                <w:highlight w:val="none"/>
              </w:rPr>
            </w:pPr>
          </w:p>
        </w:tc>
        <w:tc>
          <w:tcPr>
            <w:tcW w:w="1426" w:type="dxa"/>
            <w:gridSpan w:val="2"/>
            <w:vAlign w:val="center"/>
          </w:tcPr>
          <w:p>
            <w:pPr>
              <w:jc w:val="center"/>
              <w:rPr>
                <w:color w:val="auto"/>
                <w:szCs w:val="21"/>
                <w:highlight w:val="none"/>
              </w:rPr>
            </w:pPr>
          </w:p>
        </w:tc>
        <w:tc>
          <w:tcPr>
            <w:tcW w:w="1525" w:type="dxa"/>
            <w:gridSpan w:val="2"/>
            <w:vAlign w:val="center"/>
          </w:tcPr>
          <w:p>
            <w:pPr>
              <w:jc w:val="center"/>
              <w:rPr>
                <w:color w:val="auto"/>
                <w:szCs w:val="21"/>
                <w:highlight w:val="none"/>
              </w:rPr>
            </w:pPr>
          </w:p>
        </w:tc>
        <w:tc>
          <w:tcPr>
            <w:tcW w:w="1727" w:type="dxa"/>
            <w:gridSpan w:val="2"/>
            <w:vAlign w:val="center"/>
          </w:tcPr>
          <w:p>
            <w:pPr>
              <w:jc w:val="center"/>
              <w:rPr>
                <w:color w:val="auto"/>
                <w:szCs w:val="21"/>
                <w:highlight w:val="none"/>
              </w:rPr>
            </w:pPr>
          </w:p>
        </w:tc>
      </w:tr>
    </w:tbl>
    <w:p>
      <w:pPr>
        <w:spacing w:line="360" w:lineRule="exact"/>
        <w:rPr>
          <w:color w:val="auto"/>
          <w:szCs w:val="21"/>
          <w:highlight w:val="none"/>
        </w:rPr>
      </w:pPr>
      <w:r>
        <w:rPr>
          <w:rFonts w:hint="eastAsia"/>
          <w:color w:val="auto"/>
          <w:szCs w:val="21"/>
          <w:highlight w:val="none"/>
        </w:rPr>
        <w:t>注：1、已更换“三证合一”的，填写社会统一信用代码</w:t>
      </w:r>
    </w:p>
    <w:p>
      <w:pPr>
        <w:spacing w:line="360" w:lineRule="exact"/>
        <w:ind w:firstLine="440" w:firstLineChars="200"/>
        <w:rPr>
          <w:color w:val="auto"/>
          <w:szCs w:val="21"/>
          <w:highlight w:val="none"/>
        </w:rPr>
      </w:pPr>
      <w:r>
        <w:rPr>
          <w:rFonts w:hint="eastAsia"/>
          <w:color w:val="auto"/>
          <w:szCs w:val="21"/>
          <w:highlight w:val="none"/>
        </w:rPr>
        <w:t>2、</w:t>
      </w:r>
      <w:r>
        <w:rPr>
          <w:rFonts w:hint="eastAsia"/>
          <w:color w:val="auto"/>
          <w:highlight w:val="none"/>
        </w:rPr>
        <w:t>本表后应附加盖公章的营业执照的复印件或影印件。</w:t>
      </w:r>
    </w:p>
    <w:tbl>
      <w:tblPr>
        <w:tblStyle w:val="24"/>
        <w:tblW w:w="93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0" w:hRule="atLeast"/>
        </w:trPr>
        <w:tc>
          <w:tcPr>
            <w:tcW w:w="9300" w:type="dxa"/>
          </w:tcPr>
          <w:p>
            <w:pPr>
              <w:spacing w:line="360" w:lineRule="exact"/>
              <w:ind w:right="-537" w:rightChars="-244"/>
              <w:rPr>
                <w:color w:val="auto"/>
                <w:szCs w:val="21"/>
                <w:highlight w:val="none"/>
              </w:rPr>
            </w:pPr>
            <w:r>
              <w:rPr>
                <w:color w:val="auto"/>
                <w:szCs w:val="21"/>
                <w:highlight w:val="none"/>
              </w:rPr>
              <w:t>投标单位简介：（可另附页说明）</w:t>
            </w: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p>
            <w:pPr>
              <w:spacing w:line="360" w:lineRule="exact"/>
              <w:ind w:right="-537" w:rightChars="-244"/>
              <w:rPr>
                <w:color w:val="auto"/>
                <w:szCs w:val="21"/>
                <w:highlight w:val="none"/>
              </w:rPr>
            </w:pPr>
          </w:p>
        </w:tc>
      </w:tr>
    </w:tbl>
    <w:p>
      <w:pPr>
        <w:spacing w:line="340" w:lineRule="exact"/>
        <w:rPr>
          <w:color w:val="auto"/>
          <w:szCs w:val="21"/>
          <w:highlight w:val="none"/>
        </w:rPr>
      </w:pPr>
    </w:p>
    <w:p>
      <w:pPr>
        <w:spacing w:line="340" w:lineRule="exact"/>
        <w:ind w:right="420" w:firstLine="3960" w:firstLineChars="1800"/>
        <w:rPr>
          <w:color w:val="auto"/>
          <w:szCs w:val="21"/>
          <w:highlight w:val="none"/>
        </w:rPr>
      </w:pPr>
      <w:r>
        <w:rPr>
          <w:color w:val="auto"/>
          <w:szCs w:val="21"/>
          <w:highlight w:val="none"/>
        </w:rPr>
        <w:t>投标人全称</w:t>
      </w:r>
      <w:r>
        <w:rPr>
          <w:rFonts w:hint="eastAsia"/>
          <w:color w:val="auto"/>
          <w:szCs w:val="21"/>
          <w:highlight w:val="none"/>
        </w:rPr>
        <w:t>：</w:t>
      </w:r>
      <w:r>
        <w:rPr>
          <w:color w:val="auto"/>
          <w:szCs w:val="21"/>
          <w:highlight w:val="none"/>
          <w:u w:val="single"/>
        </w:rPr>
        <w:t>（盖章）</w:t>
      </w:r>
      <w:r>
        <w:rPr>
          <w:rFonts w:hint="eastAsia"/>
          <w:color w:val="auto"/>
          <w:szCs w:val="21"/>
          <w:highlight w:val="none"/>
          <w:u w:val="single"/>
        </w:rPr>
        <w:t xml:space="preserve">                  </w:t>
      </w:r>
    </w:p>
    <w:p>
      <w:pPr>
        <w:spacing w:line="340" w:lineRule="exact"/>
        <w:ind w:firstLine="4070" w:firstLineChars="1850"/>
        <w:rPr>
          <w:color w:val="auto"/>
          <w:szCs w:val="21"/>
          <w:highlight w:val="none"/>
        </w:rPr>
      </w:pPr>
    </w:p>
    <w:p>
      <w:pPr>
        <w:spacing w:line="400" w:lineRule="exact"/>
        <w:ind w:firstLine="3960" w:firstLineChars="1800"/>
        <w:rPr>
          <w:color w:val="auto"/>
          <w:szCs w:val="21"/>
          <w:highlight w:val="none"/>
          <w:u w:val="single"/>
        </w:rPr>
      </w:pPr>
      <w:r>
        <w:rPr>
          <w:color w:val="auto"/>
          <w:szCs w:val="21"/>
          <w:highlight w:val="none"/>
        </w:rPr>
        <w:t>法定代表人或其委托代理人：</w:t>
      </w:r>
      <w:r>
        <w:rPr>
          <w:color w:val="auto"/>
          <w:szCs w:val="21"/>
          <w:highlight w:val="none"/>
          <w:u w:val="single"/>
        </w:rPr>
        <w:t>（签字）</w:t>
      </w:r>
      <w:r>
        <w:rPr>
          <w:rFonts w:hint="eastAsia"/>
          <w:color w:val="auto"/>
          <w:szCs w:val="21"/>
          <w:highlight w:val="none"/>
          <w:u w:val="single"/>
        </w:rPr>
        <w:t xml:space="preserve">    </w:t>
      </w:r>
    </w:p>
    <w:p>
      <w:pPr>
        <w:spacing w:line="400" w:lineRule="exact"/>
        <w:ind w:firstLine="3960" w:firstLineChars="1800"/>
        <w:rPr>
          <w:color w:val="auto"/>
          <w:szCs w:val="21"/>
          <w:highlight w:val="none"/>
        </w:rPr>
      </w:pPr>
    </w:p>
    <w:p>
      <w:pPr>
        <w:spacing w:line="360" w:lineRule="auto"/>
        <w:ind w:firstLine="6490" w:firstLineChars="2950"/>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tabs>
          <w:tab w:val="left" w:pos="990"/>
        </w:tabs>
        <w:snapToGrid w:val="0"/>
        <w:spacing w:line="360" w:lineRule="auto"/>
        <w:ind w:right="-58"/>
        <w:rPr>
          <w:color w:val="auto"/>
          <w:szCs w:val="32"/>
          <w:highlight w:val="none"/>
        </w:rPr>
      </w:pPr>
    </w:p>
    <w:p>
      <w:pPr>
        <w:tabs>
          <w:tab w:val="left" w:pos="990"/>
        </w:tabs>
        <w:snapToGrid w:val="0"/>
        <w:spacing w:line="360" w:lineRule="auto"/>
        <w:ind w:right="-58"/>
        <w:rPr>
          <w:color w:val="auto"/>
          <w:szCs w:val="32"/>
          <w:highlight w:val="none"/>
        </w:rPr>
      </w:pPr>
    </w:p>
    <w:p>
      <w:pPr>
        <w:tabs>
          <w:tab w:val="left" w:pos="990"/>
        </w:tabs>
        <w:snapToGrid w:val="0"/>
        <w:spacing w:line="360" w:lineRule="auto"/>
        <w:ind w:right="-58"/>
        <w:rPr>
          <w:color w:val="auto"/>
          <w:szCs w:val="32"/>
          <w:highlight w:val="none"/>
        </w:rPr>
      </w:pPr>
    </w:p>
    <w:p>
      <w:pPr>
        <w:tabs>
          <w:tab w:val="left" w:pos="990"/>
        </w:tabs>
        <w:snapToGrid w:val="0"/>
        <w:spacing w:line="360" w:lineRule="auto"/>
        <w:ind w:right="-58"/>
        <w:rPr>
          <w:color w:val="auto"/>
          <w:szCs w:val="32"/>
          <w:highlight w:val="none"/>
        </w:rPr>
      </w:pPr>
    </w:p>
    <w:p>
      <w:pPr>
        <w:tabs>
          <w:tab w:val="left" w:pos="990"/>
        </w:tabs>
        <w:snapToGrid w:val="0"/>
        <w:spacing w:line="360" w:lineRule="auto"/>
        <w:ind w:right="-58"/>
        <w:rPr>
          <w:color w:val="auto"/>
          <w:szCs w:val="32"/>
          <w:highlight w:val="none"/>
        </w:rPr>
      </w:pPr>
    </w:p>
    <w:p>
      <w:pPr>
        <w:tabs>
          <w:tab w:val="left" w:pos="990"/>
        </w:tabs>
        <w:snapToGrid w:val="0"/>
        <w:spacing w:line="360" w:lineRule="auto"/>
        <w:ind w:right="-58"/>
        <w:rPr>
          <w:color w:val="auto"/>
          <w:szCs w:val="32"/>
          <w:highlight w:val="none"/>
        </w:rPr>
      </w:pPr>
    </w:p>
    <w:p>
      <w:pPr>
        <w:pStyle w:val="35"/>
        <w:rPr>
          <w:color w:val="auto"/>
          <w:szCs w:val="32"/>
          <w:highlight w:val="none"/>
        </w:rPr>
      </w:pPr>
    </w:p>
    <w:p>
      <w:pPr>
        <w:rPr>
          <w:color w:val="auto"/>
          <w:highlight w:val="none"/>
        </w:rPr>
      </w:pPr>
    </w:p>
    <w:p>
      <w:pPr>
        <w:tabs>
          <w:tab w:val="left" w:pos="990"/>
        </w:tabs>
        <w:snapToGrid w:val="0"/>
        <w:spacing w:line="360" w:lineRule="auto"/>
        <w:ind w:right="-58"/>
        <w:rPr>
          <w:color w:val="auto"/>
          <w:szCs w:val="32"/>
          <w:highlight w:val="none"/>
        </w:rPr>
      </w:pPr>
    </w:p>
    <w:p>
      <w:pPr>
        <w:tabs>
          <w:tab w:val="left" w:pos="990"/>
        </w:tabs>
        <w:snapToGrid w:val="0"/>
        <w:spacing w:line="360" w:lineRule="auto"/>
        <w:ind w:right="-58"/>
        <w:rPr>
          <w:color w:val="auto"/>
          <w:szCs w:val="32"/>
          <w:highlight w:val="none"/>
        </w:rPr>
      </w:pPr>
    </w:p>
    <w:p>
      <w:pPr>
        <w:jc w:val="center"/>
        <w:rPr>
          <w:b/>
          <w:bCs/>
          <w:color w:val="auto"/>
          <w:sz w:val="32"/>
          <w:szCs w:val="21"/>
          <w:highlight w:val="none"/>
        </w:rPr>
      </w:pPr>
      <w:bookmarkStart w:id="207" w:name="_Toc459645002"/>
      <w:r>
        <w:rPr>
          <w:rFonts w:hint="eastAsia"/>
          <w:b/>
          <w:bCs/>
          <w:color w:val="auto"/>
          <w:sz w:val="32"/>
          <w:szCs w:val="21"/>
          <w:highlight w:val="none"/>
        </w:rPr>
        <w:t>五、</w:t>
      </w:r>
      <w:r>
        <w:rPr>
          <w:rFonts w:hint="eastAsia"/>
          <w:b/>
          <w:bCs/>
          <w:color w:val="auto"/>
          <w:sz w:val="32"/>
          <w:szCs w:val="21"/>
          <w:highlight w:val="none"/>
          <w:lang w:val="en-US"/>
        </w:rPr>
        <w:t>近三年</w:t>
      </w:r>
      <w:r>
        <w:rPr>
          <w:rFonts w:hint="eastAsia"/>
          <w:b/>
          <w:bCs/>
          <w:color w:val="auto"/>
          <w:sz w:val="32"/>
          <w:szCs w:val="21"/>
          <w:highlight w:val="none"/>
        </w:rPr>
        <w:t>承担过的类似项目业绩一览表</w:t>
      </w:r>
    </w:p>
    <w:tbl>
      <w:tblPr>
        <w:tblStyle w:val="24"/>
        <w:tblW w:w="9133" w:type="dxa"/>
        <w:jc w:val="center"/>
        <w:tblLayout w:type="fixed"/>
        <w:tblCellMar>
          <w:top w:w="0" w:type="dxa"/>
          <w:left w:w="108" w:type="dxa"/>
          <w:bottom w:w="0" w:type="dxa"/>
          <w:right w:w="108" w:type="dxa"/>
        </w:tblCellMar>
      </w:tblPr>
      <w:tblGrid>
        <w:gridCol w:w="911"/>
        <w:gridCol w:w="2268"/>
        <w:gridCol w:w="1629"/>
        <w:gridCol w:w="1559"/>
        <w:gridCol w:w="1560"/>
        <w:gridCol w:w="1206"/>
      </w:tblGrid>
      <w:tr>
        <w:trPr>
          <w:trHeight w:val="87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18030"/>
                <w:color w:val="auto"/>
                <w:szCs w:val="21"/>
                <w:highlight w:val="none"/>
              </w:rPr>
            </w:pPr>
            <w:bookmarkStart w:id="208" w:name="_Hlk41564791"/>
            <w:r>
              <w:rPr>
                <w:rFonts w:hint="eastAsia" w:cs="宋体-18030"/>
                <w:color w:val="auto"/>
                <w:szCs w:val="21"/>
                <w:highlight w:val="none"/>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18030"/>
                <w:color w:val="auto"/>
                <w:szCs w:val="21"/>
                <w:highlight w:val="none"/>
              </w:rPr>
            </w:pPr>
            <w:r>
              <w:rPr>
                <w:rFonts w:hint="eastAsia" w:cs="宋体-18030"/>
                <w:color w:val="auto"/>
                <w:szCs w:val="21"/>
                <w:highlight w:val="none"/>
              </w:rPr>
              <w:t>项目名称</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18030"/>
                <w:color w:val="auto"/>
                <w:szCs w:val="21"/>
                <w:highlight w:val="none"/>
              </w:rPr>
            </w:pPr>
            <w:r>
              <w:rPr>
                <w:rFonts w:hint="eastAsia" w:cs="宋体-18030"/>
                <w:color w:val="auto"/>
                <w:szCs w:val="21"/>
                <w:highlight w:val="none"/>
              </w:rPr>
              <w:t>服务开始时间</w:t>
            </w:r>
          </w:p>
        </w:tc>
        <w:tc>
          <w:tcPr>
            <w:tcW w:w="1559" w:type="dxa"/>
            <w:tcBorders>
              <w:top w:val="single" w:color="auto" w:sz="4" w:space="0"/>
              <w:left w:val="single" w:color="auto" w:sz="4" w:space="0"/>
              <w:bottom w:val="single" w:color="auto" w:sz="4" w:space="0"/>
              <w:right w:val="single" w:color="auto" w:sz="4" w:space="0"/>
            </w:tcBorders>
          </w:tcPr>
          <w:p>
            <w:pPr>
              <w:pStyle w:val="50"/>
              <w:jc w:val="center"/>
              <w:rPr>
                <w:rFonts w:ascii="宋体" w:hAnsi="宋体" w:eastAsia="宋体" w:cs="宋体-18030"/>
                <w:color w:val="auto"/>
                <w:sz w:val="22"/>
                <w:szCs w:val="21"/>
                <w:highlight w:val="none"/>
                <w:lang w:val="zh-CN" w:bidi="zh-CN"/>
              </w:rPr>
            </w:pPr>
          </w:p>
          <w:p>
            <w:pPr>
              <w:pStyle w:val="50"/>
              <w:jc w:val="center"/>
              <w:rPr>
                <w:rFonts w:ascii="宋体" w:hAnsi="宋体" w:eastAsia="宋体" w:cs="宋体-18030"/>
                <w:color w:val="auto"/>
                <w:sz w:val="22"/>
                <w:szCs w:val="21"/>
                <w:highlight w:val="none"/>
                <w:lang w:val="zh-CN" w:bidi="zh-CN"/>
              </w:rPr>
            </w:pPr>
            <w:r>
              <w:rPr>
                <w:rFonts w:hint="eastAsia" w:ascii="宋体" w:hAnsi="宋体" w:eastAsia="宋体" w:cs="宋体-18030"/>
                <w:color w:val="auto"/>
                <w:sz w:val="22"/>
                <w:szCs w:val="21"/>
                <w:highlight w:val="none"/>
                <w:lang w:val="zh-CN" w:bidi="zh-CN"/>
              </w:rPr>
              <w:t>服务结束时间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18030"/>
                <w:color w:val="auto"/>
                <w:szCs w:val="21"/>
                <w:highlight w:val="none"/>
              </w:rPr>
            </w:pPr>
            <w:r>
              <w:rPr>
                <w:rFonts w:hint="eastAsia" w:cs="宋体-18030"/>
                <w:color w:val="auto"/>
                <w:szCs w:val="21"/>
                <w:highlight w:val="none"/>
              </w:rPr>
              <w:t>合同金额</w:t>
            </w:r>
          </w:p>
          <w:p>
            <w:pPr>
              <w:spacing w:line="360" w:lineRule="auto"/>
              <w:jc w:val="center"/>
              <w:rPr>
                <w:rFonts w:cs="宋体-18030"/>
                <w:color w:val="auto"/>
                <w:szCs w:val="21"/>
                <w:highlight w:val="none"/>
              </w:rPr>
            </w:pPr>
            <w:r>
              <w:rPr>
                <w:rFonts w:hint="eastAsia" w:cs="宋体-18030"/>
                <w:color w:val="auto"/>
                <w:szCs w:val="21"/>
                <w:highlight w:val="none"/>
              </w:rPr>
              <w:t>（万元）</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18030"/>
                <w:color w:val="auto"/>
                <w:szCs w:val="21"/>
                <w:highlight w:val="none"/>
              </w:rPr>
            </w:pPr>
            <w:r>
              <w:rPr>
                <w:rFonts w:cs="宋体-18030"/>
                <w:bCs/>
                <w:color w:val="auto"/>
                <w:szCs w:val="21"/>
                <w:highlight w:val="none"/>
              </w:rPr>
              <w:t>项目负责人</w:t>
            </w:r>
          </w:p>
        </w:tc>
      </w:tr>
      <w:tr>
        <w:trPr>
          <w:trHeight w:val="973"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rPr>
          <w:trHeight w:val="88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rPr>
          <w:trHeight w:val="108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tr>
        <w:trPr>
          <w:trHeight w:val="842"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r>
      <w:bookmarkEnd w:id="208"/>
    </w:tbl>
    <w:p>
      <w:pPr>
        <w:tabs>
          <w:tab w:val="left" w:pos="5220"/>
          <w:tab w:val="left" w:pos="5400"/>
          <w:tab w:val="left" w:pos="5580"/>
        </w:tabs>
        <w:spacing w:line="360" w:lineRule="exact"/>
        <w:rPr>
          <w:color w:val="auto"/>
          <w:highlight w:val="none"/>
        </w:rPr>
      </w:pPr>
      <w:r>
        <w:rPr>
          <w:rFonts w:hint="eastAsia"/>
          <w:color w:val="auto"/>
          <w:highlight w:val="none"/>
        </w:rPr>
        <w:t>注：1</w:t>
      </w:r>
      <w:r>
        <w:rPr>
          <w:color w:val="auto"/>
          <w:highlight w:val="none"/>
        </w:rPr>
        <w:t>.</w:t>
      </w:r>
      <w:r>
        <w:rPr>
          <w:rFonts w:hint="eastAsia"/>
          <w:color w:val="auto"/>
          <w:highlight w:val="none"/>
        </w:rPr>
        <w:t>本表可在不改变格式的情况下根据具体需要自行增减。</w:t>
      </w:r>
    </w:p>
    <w:p>
      <w:pPr>
        <w:tabs>
          <w:tab w:val="left" w:pos="5220"/>
          <w:tab w:val="left" w:pos="5400"/>
          <w:tab w:val="left" w:pos="5580"/>
        </w:tabs>
        <w:spacing w:line="360" w:lineRule="exact"/>
        <w:ind w:firstLine="440" w:firstLineChars="200"/>
        <w:rPr>
          <w:color w:val="auto"/>
          <w:szCs w:val="21"/>
          <w:highlight w:val="none"/>
        </w:rPr>
      </w:pPr>
      <w:r>
        <w:rPr>
          <w:color w:val="auto"/>
          <w:highlight w:val="none"/>
        </w:rPr>
        <w:t>2</w:t>
      </w:r>
      <w:r>
        <w:rPr>
          <w:rFonts w:hint="eastAsia"/>
          <w:color w:val="auto"/>
          <w:highlight w:val="none"/>
        </w:rPr>
        <w:t>.投标人将</w:t>
      </w:r>
      <w:r>
        <w:rPr>
          <w:rFonts w:hint="eastAsia"/>
          <w:color w:val="auto"/>
          <w:highlight w:val="none"/>
          <w:lang w:val="en-US"/>
        </w:rPr>
        <w:t>近三年（201</w:t>
      </w:r>
      <w:r>
        <w:rPr>
          <w:rFonts w:hint="eastAsia"/>
          <w:color w:val="auto"/>
          <w:highlight w:val="none"/>
          <w:lang w:val="en-US" w:eastAsia="zh-CN"/>
        </w:rPr>
        <w:t>9</w:t>
      </w:r>
      <w:r>
        <w:rPr>
          <w:rFonts w:hint="eastAsia"/>
          <w:color w:val="auto"/>
          <w:highlight w:val="none"/>
          <w:lang w:val="en-US"/>
        </w:rPr>
        <w:t>年1月1日至今）承担过</w:t>
      </w:r>
      <w:r>
        <w:rPr>
          <w:rFonts w:hint="eastAsia"/>
          <w:color w:val="auto"/>
          <w:highlight w:val="none"/>
        </w:rPr>
        <w:t>类似项目情况填入本表中</w:t>
      </w:r>
      <w:r>
        <w:rPr>
          <w:rFonts w:hint="eastAsia"/>
          <w:color w:val="auto"/>
          <w:szCs w:val="21"/>
          <w:highlight w:val="none"/>
        </w:rPr>
        <w:t>。</w:t>
      </w:r>
    </w:p>
    <w:p>
      <w:pPr>
        <w:tabs>
          <w:tab w:val="left" w:pos="5220"/>
          <w:tab w:val="left" w:pos="5400"/>
          <w:tab w:val="left" w:pos="5580"/>
        </w:tabs>
        <w:spacing w:line="360" w:lineRule="exact"/>
        <w:ind w:firstLine="440" w:firstLineChars="200"/>
        <w:rPr>
          <w:color w:val="auto"/>
          <w:szCs w:val="21"/>
          <w:highlight w:val="none"/>
        </w:rPr>
      </w:pPr>
      <w:r>
        <w:rPr>
          <w:color w:val="auto"/>
          <w:szCs w:val="21"/>
          <w:highlight w:val="none"/>
          <w:lang w:val="en-US"/>
        </w:rPr>
        <w:t>3</w:t>
      </w:r>
      <w:r>
        <w:rPr>
          <w:rFonts w:hint="eastAsia"/>
          <w:color w:val="auto"/>
          <w:szCs w:val="21"/>
          <w:highlight w:val="none"/>
          <w:lang w:val="en-US"/>
        </w:rPr>
        <w:t>.</w:t>
      </w:r>
      <w:r>
        <w:rPr>
          <w:rFonts w:hint="eastAsia"/>
          <w:color w:val="auto"/>
          <w:szCs w:val="21"/>
          <w:highlight w:val="none"/>
          <w:lang w:val="en-US" w:eastAsia="zh-CN"/>
        </w:rPr>
        <w:t>业绩时间</w:t>
      </w:r>
      <w:r>
        <w:rPr>
          <w:rFonts w:hint="eastAsia"/>
          <w:color w:val="auto"/>
          <w:szCs w:val="21"/>
          <w:highlight w:val="none"/>
          <w:lang w:val="en-US"/>
        </w:rPr>
        <w:t>以合同协议书中开始履约时间为准，合同协议书不能证明以上信息的，应附业主加盖公章的证明材料</w:t>
      </w:r>
      <w:r>
        <w:rPr>
          <w:rFonts w:hint="eastAsia"/>
          <w:color w:val="auto"/>
          <w:szCs w:val="21"/>
          <w:highlight w:val="none"/>
        </w:rPr>
        <w:t>。</w:t>
      </w:r>
    </w:p>
    <w:p>
      <w:pPr>
        <w:tabs>
          <w:tab w:val="left" w:pos="5220"/>
          <w:tab w:val="left" w:pos="5400"/>
          <w:tab w:val="left" w:pos="5580"/>
        </w:tabs>
        <w:spacing w:line="360" w:lineRule="exact"/>
        <w:ind w:firstLine="440" w:firstLineChars="200"/>
        <w:rPr>
          <w:color w:val="auto"/>
          <w:szCs w:val="21"/>
          <w:highlight w:val="none"/>
        </w:rPr>
      </w:pPr>
      <w:r>
        <w:rPr>
          <w:color w:val="auto"/>
          <w:szCs w:val="21"/>
          <w:highlight w:val="none"/>
        </w:rPr>
        <w:t>4</w:t>
      </w:r>
      <w:r>
        <w:rPr>
          <w:rFonts w:hint="eastAsia"/>
          <w:color w:val="auto"/>
          <w:szCs w:val="21"/>
          <w:highlight w:val="none"/>
        </w:rPr>
        <w:t>. 未附证明材料、证明材料不全的，视为某项业绩无效。</w:t>
      </w: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spacing w:line="340" w:lineRule="exact"/>
        <w:ind w:firstLine="3960" w:firstLineChars="1800"/>
        <w:rPr>
          <w:color w:val="auto"/>
          <w:szCs w:val="21"/>
          <w:highlight w:val="none"/>
          <w:u w:val="single"/>
        </w:rPr>
      </w:pPr>
      <w:r>
        <w:rPr>
          <w:color w:val="auto"/>
          <w:szCs w:val="21"/>
          <w:highlight w:val="none"/>
        </w:rPr>
        <w:t>投标人全称：</w:t>
      </w:r>
      <w:r>
        <w:rPr>
          <w:color w:val="auto"/>
          <w:szCs w:val="21"/>
          <w:highlight w:val="none"/>
          <w:u w:val="single"/>
        </w:rPr>
        <w:t>（盖章）</w:t>
      </w:r>
      <w:r>
        <w:rPr>
          <w:rFonts w:hint="eastAsia"/>
          <w:color w:val="auto"/>
          <w:szCs w:val="21"/>
          <w:highlight w:val="none"/>
          <w:u w:val="single"/>
        </w:rPr>
        <w:t xml:space="preserve">                </w:t>
      </w:r>
    </w:p>
    <w:p>
      <w:pPr>
        <w:spacing w:line="340" w:lineRule="exact"/>
        <w:ind w:firstLine="4070" w:firstLineChars="1850"/>
        <w:rPr>
          <w:color w:val="auto"/>
          <w:szCs w:val="21"/>
          <w:highlight w:val="none"/>
        </w:rPr>
      </w:pPr>
    </w:p>
    <w:p>
      <w:pPr>
        <w:spacing w:line="400" w:lineRule="exact"/>
        <w:ind w:firstLine="3960" w:firstLineChars="1800"/>
        <w:rPr>
          <w:color w:val="auto"/>
          <w:szCs w:val="21"/>
          <w:highlight w:val="none"/>
        </w:rPr>
      </w:pPr>
      <w:r>
        <w:rPr>
          <w:color w:val="auto"/>
          <w:szCs w:val="21"/>
          <w:highlight w:val="none"/>
        </w:rPr>
        <w:t>法定代表人或其委托代理人：</w:t>
      </w:r>
      <w:r>
        <w:rPr>
          <w:color w:val="auto"/>
          <w:szCs w:val="21"/>
          <w:highlight w:val="none"/>
          <w:u w:val="single"/>
        </w:rPr>
        <w:t>（签字）</w:t>
      </w:r>
      <w:r>
        <w:rPr>
          <w:rFonts w:hint="eastAsia"/>
          <w:color w:val="auto"/>
          <w:szCs w:val="21"/>
          <w:highlight w:val="none"/>
          <w:u w:val="single"/>
        </w:rPr>
        <w:t xml:space="preserve">   </w:t>
      </w:r>
    </w:p>
    <w:p>
      <w:pPr>
        <w:spacing w:line="400" w:lineRule="exact"/>
        <w:ind w:firstLine="3960" w:firstLineChars="1800"/>
        <w:rPr>
          <w:color w:val="auto"/>
          <w:szCs w:val="21"/>
          <w:highlight w:val="none"/>
        </w:rPr>
      </w:pPr>
    </w:p>
    <w:p>
      <w:pPr>
        <w:spacing w:line="360" w:lineRule="auto"/>
        <w:ind w:firstLine="6490" w:firstLineChars="2950"/>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tabs>
          <w:tab w:val="left" w:pos="5220"/>
          <w:tab w:val="left" w:pos="5400"/>
          <w:tab w:val="left" w:pos="5580"/>
        </w:tabs>
        <w:spacing w:line="360" w:lineRule="exact"/>
        <w:rPr>
          <w:color w:val="auto"/>
          <w:szCs w:val="21"/>
          <w:highlight w:val="none"/>
        </w:rPr>
      </w:pPr>
    </w:p>
    <w:p>
      <w:pPr>
        <w:jc w:val="center"/>
        <w:rPr>
          <w:b/>
          <w:bCs/>
          <w:color w:val="auto"/>
          <w:sz w:val="32"/>
          <w:szCs w:val="21"/>
          <w:highlight w:val="none"/>
        </w:rPr>
      </w:pPr>
    </w:p>
    <w:p>
      <w:pPr>
        <w:jc w:val="center"/>
        <w:rPr>
          <w:bCs/>
          <w:color w:val="auto"/>
          <w:sz w:val="32"/>
          <w:szCs w:val="21"/>
          <w:highlight w:val="none"/>
        </w:rPr>
      </w:pPr>
      <w:r>
        <w:rPr>
          <w:rFonts w:hint="eastAsia"/>
          <w:b/>
          <w:bCs/>
          <w:color w:val="auto"/>
          <w:sz w:val="32"/>
          <w:szCs w:val="21"/>
          <w:highlight w:val="none"/>
        </w:rPr>
        <w:t>六</w:t>
      </w:r>
      <w:r>
        <w:rPr>
          <w:b/>
          <w:bCs/>
          <w:color w:val="auto"/>
          <w:sz w:val="32"/>
          <w:szCs w:val="21"/>
          <w:highlight w:val="none"/>
        </w:rPr>
        <w:t>、</w:t>
      </w:r>
      <w:bookmarkEnd w:id="207"/>
      <w:bookmarkStart w:id="209" w:name="_Hlk72153669"/>
      <w:r>
        <w:rPr>
          <w:rFonts w:hint="eastAsia"/>
          <w:b/>
          <w:bCs/>
          <w:color w:val="auto"/>
          <w:sz w:val="32"/>
          <w:szCs w:val="21"/>
          <w:highlight w:val="none"/>
        </w:rPr>
        <w:t>项目管理机构</w:t>
      </w:r>
      <w:bookmarkEnd w:id="209"/>
    </w:p>
    <w:p>
      <w:pPr>
        <w:spacing w:line="360" w:lineRule="auto"/>
        <w:rPr>
          <w:b/>
          <w:bCs/>
          <w:color w:val="auto"/>
          <w:sz w:val="32"/>
          <w:szCs w:val="21"/>
          <w:highlight w:val="none"/>
          <w:lang w:val="en-US"/>
        </w:rPr>
      </w:pPr>
      <w:r>
        <w:rPr>
          <w:rFonts w:hint="eastAsia"/>
          <w:color w:val="auto"/>
          <w:szCs w:val="21"/>
          <w:highlight w:val="none"/>
        </w:rPr>
        <w:t>拟为承包本标段工程设立的组织机构以框图方式表示。</w:t>
      </w:r>
    </w:p>
    <w:p>
      <w:pPr>
        <w:widowControl/>
        <w:autoSpaceDE/>
        <w:autoSpaceDN/>
        <w:rPr>
          <w:b/>
          <w:bCs/>
          <w:color w:val="auto"/>
          <w:sz w:val="32"/>
          <w:szCs w:val="21"/>
          <w:highlight w:val="none"/>
          <w:lang w:val="en-US"/>
        </w:rPr>
      </w:pPr>
      <w:bookmarkStart w:id="210" w:name="_Toc459645003"/>
      <w:r>
        <w:rPr>
          <w:b/>
          <w:bCs/>
          <w:color w:val="auto"/>
          <w:sz w:val="32"/>
          <w:szCs w:val="21"/>
          <w:highlight w:val="none"/>
          <w:lang w:val="en-US"/>
        </w:rPr>
        <w:br w:type="page"/>
      </w:r>
    </w:p>
    <w:bookmarkEnd w:id="210"/>
    <w:p>
      <w:pPr>
        <w:tabs>
          <w:tab w:val="left" w:pos="990"/>
        </w:tabs>
        <w:snapToGrid w:val="0"/>
        <w:spacing w:line="360" w:lineRule="auto"/>
        <w:ind w:right="-58"/>
        <w:rPr>
          <w:color w:val="auto"/>
          <w:szCs w:val="32"/>
          <w:highlight w:val="none"/>
        </w:rPr>
      </w:pPr>
    </w:p>
    <w:p>
      <w:pPr>
        <w:jc w:val="center"/>
        <w:rPr>
          <w:b/>
          <w:bCs/>
          <w:color w:val="auto"/>
          <w:sz w:val="32"/>
          <w:szCs w:val="21"/>
          <w:highlight w:val="none"/>
        </w:rPr>
      </w:pPr>
      <w:bookmarkStart w:id="211" w:name="_Toc459645005"/>
      <w:r>
        <w:rPr>
          <w:rFonts w:hint="eastAsia"/>
          <w:b/>
          <w:bCs/>
          <w:color w:val="auto"/>
          <w:sz w:val="32"/>
          <w:szCs w:val="21"/>
          <w:highlight w:val="none"/>
          <w:lang w:val="en-US"/>
        </w:rPr>
        <w:t>七</w:t>
      </w:r>
      <w:r>
        <w:rPr>
          <w:b/>
          <w:bCs/>
          <w:color w:val="auto"/>
          <w:sz w:val="32"/>
          <w:szCs w:val="21"/>
          <w:highlight w:val="none"/>
        </w:rPr>
        <w:t>、</w:t>
      </w:r>
      <w:bookmarkEnd w:id="211"/>
      <w:r>
        <w:rPr>
          <w:rFonts w:hint="eastAsia"/>
          <w:b/>
          <w:bCs/>
          <w:color w:val="auto"/>
          <w:sz w:val="32"/>
          <w:szCs w:val="21"/>
          <w:highlight w:val="none"/>
        </w:rPr>
        <w:t>服务方案</w:t>
      </w:r>
    </w:p>
    <w:p>
      <w:pPr>
        <w:pStyle w:val="6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投标人应编制服务计划，其内容包括但不限于：</w:t>
      </w:r>
    </w:p>
    <w:p>
      <w:pPr>
        <w:pStyle w:val="12"/>
        <w:spacing w:after="0" w:line="360" w:lineRule="auto"/>
        <w:ind w:left="0" w:leftChars="0" w:firstLine="440" w:firstLineChars="200"/>
        <w:rPr>
          <w:b/>
          <w:bCs/>
          <w:color w:val="auto"/>
          <w:szCs w:val="21"/>
          <w:highlight w:val="none"/>
        </w:rPr>
      </w:pPr>
      <w:r>
        <w:rPr>
          <w:rFonts w:hint="eastAsia"/>
          <w:b/>
          <w:bCs/>
          <w:color w:val="auto"/>
          <w:szCs w:val="21"/>
          <w:highlight w:val="none"/>
        </w:rPr>
        <w:t>（一）服务理念和目标</w:t>
      </w:r>
    </w:p>
    <w:p>
      <w:pPr>
        <w:pStyle w:val="12"/>
        <w:spacing w:after="0" w:line="360" w:lineRule="auto"/>
        <w:ind w:left="0" w:leftChars="0" w:firstLine="440" w:firstLineChars="200"/>
        <w:rPr>
          <w:b/>
          <w:bCs/>
          <w:color w:val="auto"/>
          <w:szCs w:val="21"/>
          <w:highlight w:val="none"/>
        </w:rPr>
      </w:pPr>
      <w:r>
        <w:rPr>
          <w:rFonts w:hint="eastAsia"/>
          <w:b/>
          <w:bCs/>
          <w:color w:val="auto"/>
          <w:szCs w:val="21"/>
          <w:highlight w:val="none"/>
        </w:rPr>
        <w:t>（二）人员设置及服务机具配置</w:t>
      </w:r>
    </w:p>
    <w:p>
      <w:pPr>
        <w:pStyle w:val="12"/>
        <w:spacing w:after="0" w:line="360" w:lineRule="auto"/>
        <w:ind w:left="0" w:leftChars="0" w:firstLine="440" w:firstLineChars="200"/>
        <w:rPr>
          <w:b/>
          <w:bCs/>
          <w:color w:val="auto"/>
          <w:szCs w:val="21"/>
          <w:highlight w:val="none"/>
        </w:rPr>
      </w:pPr>
      <w:r>
        <w:rPr>
          <w:rFonts w:hint="eastAsia"/>
          <w:b/>
          <w:bCs/>
          <w:color w:val="auto"/>
          <w:szCs w:val="21"/>
          <w:highlight w:val="none"/>
        </w:rPr>
        <w:t>（三）服务实施方案</w:t>
      </w:r>
    </w:p>
    <w:p>
      <w:pPr>
        <w:pStyle w:val="12"/>
        <w:spacing w:after="0" w:line="360" w:lineRule="auto"/>
        <w:ind w:left="0" w:leftChars="0" w:firstLine="440" w:firstLineChars="200"/>
        <w:rPr>
          <w:b/>
          <w:bCs/>
          <w:color w:val="auto"/>
          <w:szCs w:val="21"/>
          <w:highlight w:val="none"/>
        </w:rPr>
      </w:pPr>
      <w:r>
        <w:rPr>
          <w:rFonts w:hint="eastAsia"/>
          <w:b/>
          <w:bCs/>
          <w:color w:val="auto"/>
          <w:szCs w:val="21"/>
          <w:highlight w:val="none"/>
        </w:rPr>
        <w:t>（四）应急服务</w:t>
      </w:r>
    </w:p>
    <w:p>
      <w:pPr>
        <w:spacing w:line="440" w:lineRule="exact"/>
        <w:ind w:firstLine="706" w:firstLineChars="321"/>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rPr>
          <w:rFonts w:eastAsia="宋体-18030"/>
          <w:b/>
          <w:color w:val="auto"/>
          <w:szCs w:val="21"/>
          <w:highlight w:val="none"/>
        </w:rPr>
      </w:pPr>
    </w:p>
    <w:p>
      <w:pPr>
        <w:spacing w:line="400" w:lineRule="exact"/>
        <w:rPr>
          <w:color w:val="auto"/>
          <w:szCs w:val="21"/>
          <w:highlight w:val="none"/>
        </w:rPr>
      </w:pPr>
    </w:p>
    <w:p>
      <w:pPr>
        <w:pStyle w:val="35"/>
        <w:rPr>
          <w:color w:val="auto"/>
          <w:highlight w:val="none"/>
        </w:rPr>
      </w:pPr>
    </w:p>
    <w:p>
      <w:pPr>
        <w:rPr>
          <w:color w:val="auto"/>
          <w:highlight w:val="none"/>
        </w:rPr>
      </w:pPr>
    </w:p>
    <w:p>
      <w:pPr>
        <w:widowControl/>
        <w:autoSpaceDE/>
        <w:autoSpaceDN/>
        <w:rPr>
          <w:b/>
          <w:bCs/>
          <w:color w:val="auto"/>
          <w:sz w:val="32"/>
          <w:szCs w:val="21"/>
          <w:highlight w:val="none"/>
        </w:rPr>
      </w:pPr>
      <w:r>
        <w:rPr>
          <w:b/>
          <w:bCs/>
          <w:color w:val="auto"/>
          <w:sz w:val="32"/>
          <w:szCs w:val="21"/>
          <w:highlight w:val="none"/>
        </w:rPr>
        <w:br w:type="page"/>
      </w:r>
    </w:p>
    <w:p>
      <w:pPr>
        <w:spacing w:line="400" w:lineRule="exact"/>
        <w:jc w:val="center"/>
        <w:rPr>
          <w:b/>
          <w:bCs/>
          <w:color w:val="auto"/>
          <w:sz w:val="32"/>
          <w:szCs w:val="21"/>
          <w:highlight w:val="none"/>
          <w:lang w:val="en-US"/>
        </w:rPr>
      </w:pPr>
      <w:r>
        <w:rPr>
          <w:rFonts w:hint="eastAsia"/>
          <w:b/>
          <w:bCs/>
          <w:color w:val="auto"/>
          <w:sz w:val="32"/>
          <w:szCs w:val="21"/>
          <w:highlight w:val="none"/>
        </w:rPr>
        <w:t>八</w:t>
      </w:r>
      <w:r>
        <w:rPr>
          <w:b/>
          <w:bCs/>
          <w:color w:val="auto"/>
          <w:sz w:val="32"/>
          <w:szCs w:val="21"/>
          <w:highlight w:val="none"/>
        </w:rPr>
        <w:t>、</w:t>
      </w:r>
      <w:r>
        <w:rPr>
          <w:rFonts w:hint="eastAsia"/>
          <w:b/>
          <w:bCs/>
          <w:color w:val="auto"/>
          <w:sz w:val="32"/>
          <w:szCs w:val="21"/>
          <w:highlight w:val="none"/>
        </w:rPr>
        <w:t>投标保证金</w:t>
      </w:r>
    </w:p>
    <w:p>
      <w:pPr>
        <w:rPr>
          <w:rFonts w:eastAsia="宋体-18030"/>
          <w:b/>
          <w:color w:val="auto"/>
          <w:szCs w:val="21"/>
          <w:highlight w:val="none"/>
        </w:rPr>
      </w:pPr>
    </w:p>
    <w:p>
      <w:pPr>
        <w:ind w:firstLine="440" w:firstLineChars="200"/>
        <w:rPr>
          <w:color w:val="auto"/>
          <w:highlight w:val="none"/>
        </w:rPr>
      </w:pPr>
      <w:r>
        <w:rPr>
          <w:rFonts w:hint="eastAsia"/>
          <w:color w:val="auto"/>
          <w:highlight w:val="none"/>
        </w:rPr>
        <w:t>若采用现金或支票，投标人应在此提供汇款凭证的复印件。</w:t>
      </w:r>
    </w:p>
    <w:p>
      <w:pPr>
        <w:ind w:firstLine="440" w:firstLineChars="200"/>
        <w:rPr>
          <w:color w:val="auto"/>
          <w:highlight w:val="none"/>
        </w:rPr>
      </w:pPr>
      <w:r>
        <w:rPr>
          <w:rFonts w:hint="eastAsia"/>
          <w:color w:val="auto"/>
          <w:highlight w:val="none"/>
        </w:rPr>
        <w:t>如采用银行保函，保函格式按银行格式执行，投标人应在此提供银行保函复印件。</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pStyle w:val="35"/>
        <w:rPr>
          <w:color w:val="auto"/>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jc w:val="center"/>
        <w:rPr>
          <w:b/>
          <w:bCs/>
          <w:color w:val="auto"/>
          <w:sz w:val="32"/>
          <w:szCs w:val="21"/>
          <w:highlight w:val="none"/>
        </w:rPr>
      </w:pPr>
      <w:r>
        <w:rPr>
          <w:rFonts w:hint="eastAsia"/>
          <w:b/>
          <w:bCs/>
          <w:color w:val="auto"/>
          <w:sz w:val="32"/>
          <w:szCs w:val="21"/>
          <w:highlight w:val="none"/>
        </w:rPr>
        <w:t>九、招标文件要求的其他材料</w:t>
      </w:r>
      <w:bookmarkEnd w:id="204"/>
      <w:bookmarkEnd w:id="205"/>
    </w:p>
    <w:p/>
    <w:sectPr>
      <w:footerReference r:id="rId4" w:type="default"/>
      <w:pgSz w:w="11850" w:h="16783"/>
      <w:pgMar w:top="1400" w:right="1417" w:bottom="1417" w:left="1560" w:header="0" w:footer="84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00000000" w:usb1="00000000" w:usb2="00000000" w:usb3="00000000" w:csb0="003E0000" w:csb1="00000000"/>
  </w:font>
  <w:font w:name="宋体-18030">
    <w:altName w:val="Arial Unicode MS"/>
    <w:panose1 w:val="00000000000000000000"/>
    <w:charset w:val="86"/>
    <w:family w:val="modern"/>
    <w:pitch w:val="default"/>
    <w:sig w:usb0="00000000" w:usb1="00000000" w:usb2="000A005E" w:usb3="00000000" w:csb0="00040001"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0iRrsMgIAAGM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weZaFjd5aHqGjPN4uDwFyJpWjKJ0S6E48YPZSny57Eof7z3OKevpv&#10;WD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DSJGuwyAgAAYwQAAA4AAAAAAAAAAQAgAAAA&#10;NQEAAGRycy9lMm9Eb2MueG1sUEsFBgAAAAAGAAYAWQEAANkFA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390407"/>
    </w:sdtPr>
    <w:sdtContent>
      <w:p>
        <w:pPr>
          <w:pStyle w:val="17"/>
          <w:jc w:val="center"/>
        </w:pPr>
        <w:r>
          <w:fldChar w:fldCharType="begin"/>
        </w:r>
        <w:r>
          <w:instrText xml:space="preserve">PAGE   \* MERGEFORMAT</w:instrText>
        </w:r>
        <w:r>
          <w:fldChar w:fldCharType="separate"/>
        </w:r>
        <w:r>
          <w:t>2</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8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
    <w:nsid w:val="F7735DC9"/>
    <w:multiLevelType w:val="multilevel"/>
    <w:tmpl w:val="F7735DC9"/>
    <w:lvl w:ilvl="0" w:tentative="0">
      <w:start w:val="1"/>
      <w:numFmt w:val="decimal"/>
      <w:lvlText w:val="（%1）"/>
      <w:lvlJc w:val="left"/>
      <w:pPr>
        <w:ind w:left="118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
    <w:nsid w:val="00000001"/>
    <w:multiLevelType w:val="multilevel"/>
    <w:tmpl w:val="00000001"/>
    <w:lvl w:ilvl="0" w:tentative="0">
      <w:start w:val="1"/>
      <w:numFmt w:val="decimal"/>
      <w:lvlText w:val="（%1）"/>
      <w:lvlJc w:val="left"/>
      <w:pPr>
        <w:ind w:left="1129" w:hanging="529"/>
      </w:pPr>
      <w:rPr>
        <w:rFonts w:hint="default" w:ascii="宋体" w:hAnsi="宋体" w:eastAsia="宋体" w:cs="宋体"/>
        <w:spacing w:val="-3"/>
        <w:w w:val="100"/>
        <w:sz w:val="19"/>
        <w:szCs w:val="19"/>
        <w:lang w:val="zh-CN" w:eastAsia="zh-CN" w:bidi="zh-CN"/>
      </w:rPr>
    </w:lvl>
    <w:lvl w:ilvl="1" w:tentative="0">
      <w:start w:val="1"/>
      <w:numFmt w:val="bullet"/>
      <w:lvlText w:val="•"/>
      <w:lvlJc w:val="left"/>
      <w:pPr>
        <w:ind w:left="1966" w:hanging="529"/>
      </w:pPr>
      <w:rPr>
        <w:rFonts w:hint="default"/>
        <w:lang w:val="zh-CN" w:eastAsia="zh-CN" w:bidi="zh-CN"/>
      </w:rPr>
    </w:lvl>
    <w:lvl w:ilvl="2" w:tentative="0">
      <w:start w:val="1"/>
      <w:numFmt w:val="bullet"/>
      <w:lvlText w:val="•"/>
      <w:lvlJc w:val="left"/>
      <w:pPr>
        <w:ind w:left="2812" w:hanging="529"/>
      </w:pPr>
      <w:rPr>
        <w:rFonts w:hint="default"/>
        <w:lang w:val="zh-CN" w:eastAsia="zh-CN" w:bidi="zh-CN"/>
      </w:rPr>
    </w:lvl>
    <w:lvl w:ilvl="3" w:tentative="0">
      <w:start w:val="1"/>
      <w:numFmt w:val="bullet"/>
      <w:lvlText w:val="•"/>
      <w:lvlJc w:val="left"/>
      <w:pPr>
        <w:ind w:left="3658" w:hanging="529"/>
      </w:pPr>
      <w:rPr>
        <w:rFonts w:hint="default"/>
        <w:lang w:val="zh-CN" w:eastAsia="zh-CN" w:bidi="zh-CN"/>
      </w:rPr>
    </w:lvl>
    <w:lvl w:ilvl="4" w:tentative="0">
      <w:start w:val="1"/>
      <w:numFmt w:val="bullet"/>
      <w:lvlText w:val="•"/>
      <w:lvlJc w:val="left"/>
      <w:pPr>
        <w:ind w:left="4504" w:hanging="529"/>
      </w:pPr>
      <w:rPr>
        <w:rFonts w:hint="default"/>
        <w:lang w:val="zh-CN" w:eastAsia="zh-CN" w:bidi="zh-CN"/>
      </w:rPr>
    </w:lvl>
    <w:lvl w:ilvl="5" w:tentative="0">
      <w:start w:val="1"/>
      <w:numFmt w:val="bullet"/>
      <w:lvlText w:val="•"/>
      <w:lvlJc w:val="left"/>
      <w:pPr>
        <w:ind w:left="5350" w:hanging="529"/>
      </w:pPr>
      <w:rPr>
        <w:rFonts w:hint="default"/>
        <w:lang w:val="zh-CN" w:eastAsia="zh-CN" w:bidi="zh-CN"/>
      </w:rPr>
    </w:lvl>
    <w:lvl w:ilvl="6" w:tentative="0">
      <w:start w:val="1"/>
      <w:numFmt w:val="bullet"/>
      <w:lvlText w:val="•"/>
      <w:lvlJc w:val="left"/>
      <w:pPr>
        <w:ind w:left="6196" w:hanging="529"/>
      </w:pPr>
      <w:rPr>
        <w:rFonts w:hint="default"/>
        <w:lang w:val="zh-CN" w:eastAsia="zh-CN" w:bidi="zh-CN"/>
      </w:rPr>
    </w:lvl>
    <w:lvl w:ilvl="7" w:tentative="0">
      <w:start w:val="1"/>
      <w:numFmt w:val="bullet"/>
      <w:lvlText w:val="•"/>
      <w:lvlJc w:val="left"/>
      <w:pPr>
        <w:ind w:left="7042" w:hanging="529"/>
      </w:pPr>
      <w:rPr>
        <w:rFonts w:hint="default"/>
        <w:lang w:val="zh-CN" w:eastAsia="zh-CN" w:bidi="zh-CN"/>
      </w:rPr>
    </w:lvl>
    <w:lvl w:ilvl="8" w:tentative="0">
      <w:start w:val="1"/>
      <w:numFmt w:val="bullet"/>
      <w:lvlText w:val="•"/>
      <w:lvlJc w:val="left"/>
      <w:pPr>
        <w:ind w:left="7888" w:hanging="529"/>
      </w:pPr>
      <w:rPr>
        <w:rFonts w:hint="default"/>
        <w:lang w:val="zh-CN" w:eastAsia="zh-CN" w:bidi="zh-CN"/>
      </w:rPr>
    </w:lvl>
  </w:abstractNum>
  <w:abstractNum w:abstractNumId="3">
    <w:nsid w:val="00000002"/>
    <w:multiLevelType w:val="multilevel"/>
    <w:tmpl w:val="00000002"/>
    <w:lvl w:ilvl="0" w:tentative="0">
      <w:start w:val="3"/>
      <w:numFmt w:val="decimal"/>
      <w:lvlText w:val="%1"/>
      <w:lvlJc w:val="left"/>
      <w:pPr>
        <w:ind w:left="866" w:hanging="490"/>
      </w:pPr>
      <w:rPr>
        <w:rFonts w:hint="default"/>
        <w:lang w:val="zh-CN" w:eastAsia="zh-CN" w:bidi="zh-CN"/>
      </w:rPr>
    </w:lvl>
    <w:lvl w:ilvl="1" w:tentative="0">
      <w:start w:val="5"/>
      <w:numFmt w:val="decimal"/>
      <w:lvlText w:val="%1.%2"/>
      <w:lvlJc w:val="left"/>
      <w:pPr>
        <w:ind w:left="86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186" w:hanging="476"/>
      </w:pPr>
      <w:rPr>
        <w:rFonts w:hint="default" w:ascii="Times New Roman" w:hAnsi="Times New Roman" w:eastAsia="Times New Roman" w:cs="Times New Roman"/>
        <w:w w:val="100"/>
        <w:sz w:val="21"/>
        <w:szCs w:val="21"/>
        <w:lang w:val="zh-CN" w:eastAsia="zh-CN" w:bidi="zh-CN"/>
      </w:rPr>
    </w:lvl>
    <w:lvl w:ilvl="3" w:tentative="0">
      <w:start w:val="1"/>
      <w:numFmt w:val="bullet"/>
      <w:lvlText w:val="•"/>
      <w:lvlJc w:val="left"/>
      <w:pPr>
        <w:ind w:left="2797" w:hanging="476"/>
      </w:pPr>
      <w:rPr>
        <w:rFonts w:hint="default"/>
        <w:lang w:val="zh-CN" w:eastAsia="zh-CN" w:bidi="zh-CN"/>
      </w:rPr>
    </w:lvl>
    <w:lvl w:ilvl="4" w:tentative="0">
      <w:start w:val="1"/>
      <w:numFmt w:val="bullet"/>
      <w:lvlText w:val="•"/>
      <w:lvlJc w:val="left"/>
      <w:pPr>
        <w:ind w:left="3766" w:hanging="476"/>
      </w:pPr>
      <w:rPr>
        <w:rFonts w:hint="default"/>
        <w:lang w:val="zh-CN" w:eastAsia="zh-CN" w:bidi="zh-CN"/>
      </w:rPr>
    </w:lvl>
    <w:lvl w:ilvl="5" w:tentative="0">
      <w:start w:val="1"/>
      <w:numFmt w:val="bullet"/>
      <w:lvlText w:val="•"/>
      <w:lvlJc w:val="left"/>
      <w:pPr>
        <w:ind w:left="4735" w:hanging="476"/>
      </w:pPr>
      <w:rPr>
        <w:rFonts w:hint="default"/>
        <w:lang w:val="zh-CN" w:eastAsia="zh-CN" w:bidi="zh-CN"/>
      </w:rPr>
    </w:lvl>
    <w:lvl w:ilvl="6" w:tentative="0">
      <w:start w:val="1"/>
      <w:numFmt w:val="bullet"/>
      <w:lvlText w:val="•"/>
      <w:lvlJc w:val="left"/>
      <w:pPr>
        <w:ind w:left="5704" w:hanging="476"/>
      </w:pPr>
      <w:rPr>
        <w:rFonts w:hint="default"/>
        <w:lang w:val="zh-CN" w:eastAsia="zh-CN" w:bidi="zh-CN"/>
      </w:rPr>
    </w:lvl>
    <w:lvl w:ilvl="7" w:tentative="0">
      <w:start w:val="1"/>
      <w:numFmt w:val="bullet"/>
      <w:lvlText w:val="•"/>
      <w:lvlJc w:val="left"/>
      <w:pPr>
        <w:ind w:left="6673" w:hanging="476"/>
      </w:pPr>
      <w:rPr>
        <w:rFonts w:hint="default"/>
        <w:lang w:val="zh-CN" w:eastAsia="zh-CN" w:bidi="zh-CN"/>
      </w:rPr>
    </w:lvl>
    <w:lvl w:ilvl="8" w:tentative="0">
      <w:start w:val="1"/>
      <w:numFmt w:val="bullet"/>
      <w:lvlText w:val="•"/>
      <w:lvlJc w:val="left"/>
      <w:pPr>
        <w:ind w:left="7642" w:hanging="476"/>
      </w:pPr>
      <w:rPr>
        <w:rFonts w:hint="default"/>
        <w:lang w:val="zh-CN" w:eastAsia="zh-CN" w:bidi="zh-CN"/>
      </w:rPr>
    </w:lvl>
  </w:abstractNum>
  <w:abstractNum w:abstractNumId="4">
    <w:nsid w:val="0000000B"/>
    <w:multiLevelType w:val="multilevel"/>
    <w:tmpl w:val="0000000B"/>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lang w:val="zh-CN" w:eastAsia="zh-CN" w:bidi="zh-CN"/>
      </w:rPr>
    </w:lvl>
    <w:lvl w:ilvl="2" w:tentative="0">
      <w:start w:val="1"/>
      <w:numFmt w:val="bullet"/>
      <w:lvlText w:val="•"/>
      <w:lvlJc w:val="left"/>
      <w:pPr>
        <w:ind w:left="1633" w:hanging="370"/>
      </w:pPr>
      <w:rPr>
        <w:rFonts w:hint="default"/>
        <w:lang w:val="zh-CN" w:eastAsia="zh-CN" w:bidi="zh-CN"/>
      </w:rPr>
    </w:lvl>
    <w:lvl w:ilvl="3" w:tentative="0">
      <w:start w:val="1"/>
      <w:numFmt w:val="bullet"/>
      <w:lvlText w:val="•"/>
      <w:lvlJc w:val="left"/>
      <w:pPr>
        <w:ind w:left="2626" w:hanging="370"/>
      </w:pPr>
      <w:rPr>
        <w:rFonts w:hint="default"/>
        <w:lang w:val="zh-CN" w:eastAsia="zh-CN" w:bidi="zh-CN"/>
      </w:rPr>
    </w:lvl>
    <w:lvl w:ilvl="4" w:tentative="0">
      <w:start w:val="1"/>
      <w:numFmt w:val="bullet"/>
      <w:lvlText w:val="•"/>
      <w:lvlJc w:val="left"/>
      <w:pPr>
        <w:ind w:left="3620" w:hanging="370"/>
      </w:pPr>
      <w:rPr>
        <w:rFonts w:hint="default"/>
        <w:lang w:val="zh-CN" w:eastAsia="zh-CN" w:bidi="zh-CN"/>
      </w:rPr>
    </w:lvl>
    <w:lvl w:ilvl="5" w:tentative="0">
      <w:start w:val="1"/>
      <w:numFmt w:val="bullet"/>
      <w:lvlText w:val="•"/>
      <w:lvlJc w:val="left"/>
      <w:pPr>
        <w:ind w:left="4613" w:hanging="370"/>
      </w:pPr>
      <w:rPr>
        <w:rFonts w:hint="default"/>
        <w:lang w:val="zh-CN" w:eastAsia="zh-CN" w:bidi="zh-CN"/>
      </w:rPr>
    </w:lvl>
    <w:lvl w:ilvl="6" w:tentative="0">
      <w:start w:val="1"/>
      <w:numFmt w:val="bullet"/>
      <w:lvlText w:val="•"/>
      <w:lvlJc w:val="left"/>
      <w:pPr>
        <w:ind w:left="5606" w:hanging="370"/>
      </w:pPr>
      <w:rPr>
        <w:rFonts w:hint="default"/>
        <w:lang w:val="zh-CN" w:eastAsia="zh-CN" w:bidi="zh-CN"/>
      </w:rPr>
    </w:lvl>
    <w:lvl w:ilvl="7" w:tentative="0">
      <w:start w:val="1"/>
      <w:numFmt w:val="bullet"/>
      <w:lvlText w:val="•"/>
      <w:lvlJc w:val="left"/>
      <w:pPr>
        <w:ind w:left="6600" w:hanging="370"/>
      </w:pPr>
      <w:rPr>
        <w:rFonts w:hint="default"/>
        <w:lang w:val="zh-CN" w:eastAsia="zh-CN" w:bidi="zh-CN"/>
      </w:rPr>
    </w:lvl>
    <w:lvl w:ilvl="8" w:tentative="0">
      <w:start w:val="1"/>
      <w:numFmt w:val="bullet"/>
      <w:lvlText w:val="•"/>
      <w:lvlJc w:val="left"/>
      <w:pPr>
        <w:ind w:left="7593" w:hanging="370"/>
      </w:pPr>
      <w:rPr>
        <w:rFonts w:hint="default"/>
        <w:lang w:val="zh-CN" w:eastAsia="zh-CN" w:bidi="zh-CN"/>
      </w:rPr>
    </w:lvl>
  </w:abstractNum>
  <w:abstractNum w:abstractNumId="5">
    <w:nsid w:val="00000013"/>
    <w:multiLevelType w:val="multilevel"/>
    <w:tmpl w:val="00000013"/>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181" w:hanging="473"/>
      </w:pPr>
      <w:rPr>
        <w:rFonts w:hint="default" w:ascii="Times New Roman" w:hAnsi="Times New Roman" w:eastAsia="Times New Roman" w:cs="Times New Roman"/>
        <w:w w:val="100"/>
        <w:sz w:val="21"/>
        <w:szCs w:val="21"/>
        <w:lang w:val="zh-CN" w:eastAsia="zh-CN" w:bidi="zh-CN"/>
      </w:rPr>
    </w:lvl>
    <w:lvl w:ilvl="3" w:tentative="0">
      <w:start w:val="1"/>
      <w:numFmt w:val="decimal"/>
      <w:lvlText w:val="（%4）"/>
      <w:lvlJc w:val="left"/>
      <w:pPr>
        <w:ind w:left="1487" w:hanging="529"/>
      </w:pPr>
      <w:rPr>
        <w:rFonts w:hint="default" w:ascii="宋体" w:hAnsi="宋体" w:eastAsia="宋体" w:cs="宋体"/>
        <w:spacing w:val="-3"/>
        <w:w w:val="100"/>
        <w:sz w:val="19"/>
        <w:szCs w:val="19"/>
        <w:lang w:val="zh-CN" w:eastAsia="zh-CN" w:bidi="zh-CN"/>
      </w:rPr>
    </w:lvl>
    <w:lvl w:ilvl="4" w:tentative="0">
      <w:start w:val="1"/>
      <w:numFmt w:val="bullet"/>
      <w:lvlText w:val="•"/>
      <w:lvlJc w:val="left"/>
      <w:pPr>
        <w:ind w:left="1480" w:hanging="529"/>
      </w:pPr>
      <w:rPr>
        <w:rFonts w:hint="default"/>
        <w:lang w:val="zh-CN" w:eastAsia="zh-CN" w:bidi="zh-CN"/>
      </w:rPr>
    </w:lvl>
    <w:lvl w:ilvl="5" w:tentative="0">
      <w:start w:val="1"/>
      <w:numFmt w:val="bullet"/>
      <w:lvlText w:val="•"/>
      <w:lvlJc w:val="left"/>
      <w:pPr>
        <w:ind w:left="2830" w:hanging="529"/>
      </w:pPr>
      <w:rPr>
        <w:rFonts w:hint="default"/>
        <w:lang w:val="zh-CN" w:eastAsia="zh-CN" w:bidi="zh-CN"/>
      </w:rPr>
    </w:lvl>
    <w:lvl w:ilvl="6" w:tentative="0">
      <w:start w:val="1"/>
      <w:numFmt w:val="bullet"/>
      <w:lvlText w:val="•"/>
      <w:lvlJc w:val="left"/>
      <w:pPr>
        <w:ind w:left="4180" w:hanging="529"/>
      </w:pPr>
      <w:rPr>
        <w:rFonts w:hint="default"/>
        <w:lang w:val="zh-CN" w:eastAsia="zh-CN" w:bidi="zh-CN"/>
      </w:rPr>
    </w:lvl>
    <w:lvl w:ilvl="7" w:tentative="0">
      <w:start w:val="1"/>
      <w:numFmt w:val="bullet"/>
      <w:lvlText w:val="•"/>
      <w:lvlJc w:val="left"/>
      <w:pPr>
        <w:ind w:left="5530" w:hanging="529"/>
      </w:pPr>
      <w:rPr>
        <w:rFonts w:hint="default"/>
        <w:lang w:val="zh-CN" w:eastAsia="zh-CN" w:bidi="zh-CN"/>
      </w:rPr>
    </w:lvl>
    <w:lvl w:ilvl="8" w:tentative="0">
      <w:start w:val="1"/>
      <w:numFmt w:val="bullet"/>
      <w:lvlText w:val="•"/>
      <w:lvlJc w:val="left"/>
      <w:pPr>
        <w:ind w:left="6880" w:hanging="529"/>
      </w:pPr>
      <w:rPr>
        <w:rFonts w:hint="default"/>
        <w:lang w:val="zh-CN" w:eastAsia="zh-CN" w:bidi="zh-CN"/>
      </w:rPr>
    </w:lvl>
  </w:abstractNum>
  <w:abstractNum w:abstractNumId="6">
    <w:nsid w:val="00000019"/>
    <w:multiLevelType w:val="multilevel"/>
    <w:tmpl w:val="00000019"/>
    <w:lvl w:ilvl="0" w:tentative="0">
      <w:start w:val="5"/>
      <w:numFmt w:val="decimal"/>
      <w:lvlText w:val="%1"/>
      <w:lvlJc w:val="left"/>
      <w:pPr>
        <w:ind w:left="866" w:hanging="490"/>
      </w:pPr>
      <w:rPr>
        <w:rFonts w:hint="default"/>
        <w:lang w:val="zh-CN" w:eastAsia="zh-CN" w:bidi="zh-CN"/>
      </w:rPr>
    </w:lvl>
    <w:lvl w:ilvl="1" w:tentative="0">
      <w:start w:val="1"/>
      <w:numFmt w:val="decimal"/>
      <w:lvlText w:val="%1.%2"/>
      <w:lvlJc w:val="left"/>
      <w:pPr>
        <w:ind w:left="86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3）"/>
      <w:lvlJc w:val="left"/>
      <w:pPr>
        <w:ind w:left="1189" w:hanging="529"/>
      </w:pPr>
      <w:rPr>
        <w:rFonts w:hint="default" w:ascii="宋体" w:hAnsi="宋体" w:eastAsia="宋体" w:cs="宋体"/>
        <w:spacing w:val="-3"/>
        <w:w w:val="100"/>
        <w:sz w:val="19"/>
        <w:szCs w:val="19"/>
        <w:lang w:val="zh-CN" w:eastAsia="zh-CN" w:bidi="zh-CN"/>
      </w:rPr>
    </w:lvl>
    <w:lvl w:ilvl="3" w:tentative="0">
      <w:start w:val="1"/>
      <w:numFmt w:val="bullet"/>
      <w:lvlText w:val="•"/>
      <w:lvlJc w:val="left"/>
      <w:pPr>
        <w:ind w:left="3046" w:hanging="529"/>
      </w:pPr>
      <w:rPr>
        <w:rFonts w:hint="default"/>
        <w:lang w:val="zh-CN" w:eastAsia="zh-CN" w:bidi="zh-CN"/>
      </w:rPr>
    </w:lvl>
    <w:lvl w:ilvl="4" w:tentative="0">
      <w:start w:val="1"/>
      <w:numFmt w:val="bullet"/>
      <w:lvlText w:val="•"/>
      <w:lvlJc w:val="left"/>
      <w:pPr>
        <w:ind w:left="3980" w:hanging="529"/>
      </w:pPr>
      <w:rPr>
        <w:rFonts w:hint="default"/>
        <w:lang w:val="zh-CN" w:eastAsia="zh-CN" w:bidi="zh-CN"/>
      </w:rPr>
    </w:lvl>
    <w:lvl w:ilvl="5" w:tentative="0">
      <w:start w:val="1"/>
      <w:numFmt w:val="bullet"/>
      <w:lvlText w:val="•"/>
      <w:lvlJc w:val="left"/>
      <w:pPr>
        <w:ind w:left="4913" w:hanging="529"/>
      </w:pPr>
      <w:rPr>
        <w:rFonts w:hint="default"/>
        <w:lang w:val="zh-CN" w:eastAsia="zh-CN" w:bidi="zh-CN"/>
      </w:rPr>
    </w:lvl>
    <w:lvl w:ilvl="6" w:tentative="0">
      <w:start w:val="1"/>
      <w:numFmt w:val="bullet"/>
      <w:lvlText w:val="•"/>
      <w:lvlJc w:val="left"/>
      <w:pPr>
        <w:ind w:left="5846" w:hanging="529"/>
      </w:pPr>
      <w:rPr>
        <w:rFonts w:hint="default"/>
        <w:lang w:val="zh-CN" w:eastAsia="zh-CN" w:bidi="zh-CN"/>
      </w:rPr>
    </w:lvl>
    <w:lvl w:ilvl="7" w:tentative="0">
      <w:start w:val="1"/>
      <w:numFmt w:val="bullet"/>
      <w:lvlText w:val="•"/>
      <w:lvlJc w:val="left"/>
      <w:pPr>
        <w:ind w:left="6780" w:hanging="529"/>
      </w:pPr>
      <w:rPr>
        <w:rFonts w:hint="default"/>
        <w:lang w:val="zh-CN" w:eastAsia="zh-CN" w:bidi="zh-CN"/>
      </w:rPr>
    </w:lvl>
    <w:lvl w:ilvl="8" w:tentative="0">
      <w:start w:val="1"/>
      <w:numFmt w:val="bullet"/>
      <w:lvlText w:val="•"/>
      <w:lvlJc w:val="left"/>
      <w:pPr>
        <w:ind w:left="7713" w:hanging="529"/>
      </w:pPr>
      <w:rPr>
        <w:rFonts w:hint="default"/>
        <w:lang w:val="zh-CN" w:eastAsia="zh-CN" w:bidi="zh-CN"/>
      </w:rPr>
    </w:lvl>
  </w:abstractNum>
  <w:abstractNum w:abstractNumId="7">
    <w:nsid w:val="0000001A"/>
    <w:multiLevelType w:val="multilevel"/>
    <w:tmpl w:val="0000001A"/>
    <w:lvl w:ilvl="0" w:tentative="0">
      <w:start w:val="1"/>
      <w:numFmt w:val="decimal"/>
      <w:lvlText w:val="（%1）"/>
      <w:lvlJc w:val="left"/>
      <w:pPr>
        <w:ind w:left="529" w:hanging="529"/>
      </w:pPr>
      <w:rPr>
        <w:rFonts w:hint="default" w:ascii="宋体" w:hAnsi="宋体" w:eastAsia="宋体" w:cs="宋体"/>
        <w:spacing w:val="-3"/>
        <w:w w:val="100"/>
        <w:sz w:val="19"/>
        <w:szCs w:val="19"/>
        <w:lang w:val="zh-CN" w:eastAsia="zh-CN" w:bidi="zh-CN"/>
      </w:rPr>
    </w:lvl>
    <w:lvl w:ilvl="1" w:tentative="0">
      <w:start w:val="1"/>
      <w:numFmt w:val="bullet"/>
      <w:lvlText w:val="•"/>
      <w:lvlJc w:val="left"/>
      <w:pPr>
        <w:ind w:left="1930" w:hanging="529"/>
      </w:pPr>
      <w:rPr>
        <w:rFonts w:hint="default"/>
        <w:lang w:val="zh-CN" w:eastAsia="zh-CN" w:bidi="zh-CN"/>
      </w:rPr>
    </w:lvl>
    <w:lvl w:ilvl="2" w:tentative="0">
      <w:start w:val="1"/>
      <w:numFmt w:val="bullet"/>
      <w:lvlText w:val="•"/>
      <w:lvlJc w:val="left"/>
      <w:pPr>
        <w:ind w:left="2780" w:hanging="529"/>
      </w:pPr>
      <w:rPr>
        <w:rFonts w:hint="default"/>
        <w:lang w:val="zh-CN" w:eastAsia="zh-CN" w:bidi="zh-CN"/>
      </w:rPr>
    </w:lvl>
    <w:lvl w:ilvl="3" w:tentative="0">
      <w:start w:val="1"/>
      <w:numFmt w:val="bullet"/>
      <w:lvlText w:val="•"/>
      <w:lvlJc w:val="left"/>
      <w:pPr>
        <w:ind w:left="3630" w:hanging="529"/>
      </w:pPr>
      <w:rPr>
        <w:rFonts w:hint="default"/>
        <w:lang w:val="zh-CN" w:eastAsia="zh-CN" w:bidi="zh-CN"/>
      </w:rPr>
    </w:lvl>
    <w:lvl w:ilvl="4" w:tentative="0">
      <w:start w:val="1"/>
      <w:numFmt w:val="bullet"/>
      <w:lvlText w:val="•"/>
      <w:lvlJc w:val="left"/>
      <w:pPr>
        <w:ind w:left="4480" w:hanging="529"/>
      </w:pPr>
      <w:rPr>
        <w:rFonts w:hint="default"/>
        <w:lang w:val="zh-CN" w:eastAsia="zh-CN" w:bidi="zh-CN"/>
      </w:rPr>
    </w:lvl>
    <w:lvl w:ilvl="5" w:tentative="0">
      <w:start w:val="1"/>
      <w:numFmt w:val="bullet"/>
      <w:lvlText w:val="•"/>
      <w:lvlJc w:val="left"/>
      <w:pPr>
        <w:ind w:left="5330" w:hanging="529"/>
      </w:pPr>
      <w:rPr>
        <w:rFonts w:hint="default"/>
        <w:lang w:val="zh-CN" w:eastAsia="zh-CN" w:bidi="zh-CN"/>
      </w:rPr>
    </w:lvl>
    <w:lvl w:ilvl="6" w:tentative="0">
      <w:start w:val="1"/>
      <w:numFmt w:val="bullet"/>
      <w:lvlText w:val="•"/>
      <w:lvlJc w:val="left"/>
      <w:pPr>
        <w:ind w:left="6180" w:hanging="529"/>
      </w:pPr>
      <w:rPr>
        <w:rFonts w:hint="default"/>
        <w:lang w:val="zh-CN" w:eastAsia="zh-CN" w:bidi="zh-CN"/>
      </w:rPr>
    </w:lvl>
    <w:lvl w:ilvl="7" w:tentative="0">
      <w:start w:val="1"/>
      <w:numFmt w:val="bullet"/>
      <w:lvlText w:val="•"/>
      <w:lvlJc w:val="left"/>
      <w:pPr>
        <w:ind w:left="7030" w:hanging="529"/>
      </w:pPr>
      <w:rPr>
        <w:rFonts w:hint="default"/>
        <w:lang w:val="zh-CN" w:eastAsia="zh-CN" w:bidi="zh-CN"/>
      </w:rPr>
    </w:lvl>
    <w:lvl w:ilvl="8" w:tentative="0">
      <w:start w:val="1"/>
      <w:numFmt w:val="bullet"/>
      <w:lvlText w:val="•"/>
      <w:lvlJc w:val="left"/>
      <w:pPr>
        <w:ind w:left="7880" w:hanging="529"/>
      </w:pPr>
      <w:rPr>
        <w:rFonts w:hint="default"/>
        <w:lang w:val="zh-CN" w:eastAsia="zh-CN" w:bidi="zh-CN"/>
      </w:rPr>
    </w:lvl>
  </w:abstractNum>
  <w:abstractNum w:abstractNumId="8">
    <w:nsid w:val="00000020"/>
    <w:multiLevelType w:val="multilevel"/>
    <w:tmpl w:val="00000020"/>
    <w:lvl w:ilvl="0" w:tentative="0">
      <w:start w:val="1"/>
      <w:numFmt w:val="decimal"/>
      <w:lvlText w:val="（%1）"/>
      <w:lvlJc w:val="left"/>
      <w:pPr>
        <w:ind w:left="1083" w:hanging="529"/>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240" w:hanging="527"/>
      </w:pPr>
      <w:rPr>
        <w:rFonts w:hint="default" w:ascii="宋体" w:hAnsi="宋体" w:eastAsia="宋体" w:cs="宋体"/>
        <w:spacing w:val="-25"/>
        <w:w w:val="100"/>
        <w:sz w:val="19"/>
        <w:szCs w:val="19"/>
        <w:lang w:val="zh-CN" w:eastAsia="zh-CN" w:bidi="zh-CN"/>
      </w:rPr>
    </w:lvl>
    <w:lvl w:ilvl="2" w:tentative="0">
      <w:start w:val="1"/>
      <w:numFmt w:val="bullet"/>
      <w:lvlText w:val="•"/>
      <w:lvlJc w:val="left"/>
      <w:pPr>
        <w:ind w:left="2024" w:hanging="527"/>
      </w:pPr>
      <w:rPr>
        <w:rFonts w:hint="default"/>
        <w:lang w:val="zh-CN" w:eastAsia="zh-CN" w:bidi="zh-CN"/>
      </w:rPr>
    </w:lvl>
    <w:lvl w:ilvl="3" w:tentative="0">
      <w:start w:val="1"/>
      <w:numFmt w:val="bullet"/>
      <w:lvlText w:val="•"/>
      <w:lvlJc w:val="left"/>
      <w:pPr>
        <w:ind w:left="2968" w:hanging="527"/>
      </w:pPr>
      <w:rPr>
        <w:rFonts w:hint="default"/>
        <w:lang w:val="zh-CN" w:eastAsia="zh-CN" w:bidi="zh-CN"/>
      </w:rPr>
    </w:lvl>
    <w:lvl w:ilvl="4" w:tentative="0">
      <w:start w:val="1"/>
      <w:numFmt w:val="bullet"/>
      <w:lvlText w:val="•"/>
      <w:lvlJc w:val="left"/>
      <w:pPr>
        <w:ind w:left="3913" w:hanging="527"/>
      </w:pPr>
      <w:rPr>
        <w:rFonts w:hint="default"/>
        <w:lang w:val="zh-CN" w:eastAsia="zh-CN" w:bidi="zh-CN"/>
      </w:rPr>
    </w:lvl>
    <w:lvl w:ilvl="5" w:tentative="0">
      <w:start w:val="1"/>
      <w:numFmt w:val="bullet"/>
      <w:lvlText w:val="•"/>
      <w:lvlJc w:val="left"/>
      <w:pPr>
        <w:ind w:left="4857" w:hanging="527"/>
      </w:pPr>
      <w:rPr>
        <w:rFonts w:hint="default"/>
        <w:lang w:val="zh-CN" w:eastAsia="zh-CN" w:bidi="zh-CN"/>
      </w:rPr>
    </w:lvl>
    <w:lvl w:ilvl="6" w:tentative="0">
      <w:start w:val="1"/>
      <w:numFmt w:val="bullet"/>
      <w:lvlText w:val="•"/>
      <w:lvlJc w:val="left"/>
      <w:pPr>
        <w:ind w:left="5802" w:hanging="527"/>
      </w:pPr>
      <w:rPr>
        <w:rFonts w:hint="default"/>
        <w:lang w:val="zh-CN" w:eastAsia="zh-CN" w:bidi="zh-CN"/>
      </w:rPr>
    </w:lvl>
    <w:lvl w:ilvl="7" w:tentative="0">
      <w:start w:val="1"/>
      <w:numFmt w:val="bullet"/>
      <w:lvlText w:val="•"/>
      <w:lvlJc w:val="left"/>
      <w:pPr>
        <w:ind w:left="6746" w:hanging="527"/>
      </w:pPr>
      <w:rPr>
        <w:rFonts w:hint="default"/>
        <w:lang w:val="zh-CN" w:eastAsia="zh-CN" w:bidi="zh-CN"/>
      </w:rPr>
    </w:lvl>
    <w:lvl w:ilvl="8" w:tentative="0">
      <w:start w:val="1"/>
      <w:numFmt w:val="bullet"/>
      <w:lvlText w:val="•"/>
      <w:lvlJc w:val="left"/>
      <w:pPr>
        <w:ind w:left="7691" w:hanging="527"/>
      </w:pPr>
      <w:rPr>
        <w:rFonts w:hint="default"/>
        <w:lang w:val="zh-CN" w:eastAsia="zh-CN" w:bidi="zh-CN"/>
      </w:rPr>
    </w:lvl>
  </w:abstractNum>
  <w:abstractNum w:abstractNumId="9">
    <w:nsid w:val="00000021"/>
    <w:multiLevelType w:val="multilevel"/>
    <w:tmpl w:val="00000021"/>
    <w:lvl w:ilvl="0" w:tentative="0">
      <w:start w:val="1"/>
      <w:numFmt w:val="decimal"/>
      <w:lvlText w:val="（%1）"/>
      <w:lvlJc w:val="left"/>
      <w:pPr>
        <w:ind w:left="1238" w:hanging="529"/>
      </w:pPr>
      <w:rPr>
        <w:rFonts w:hint="default" w:ascii="宋体" w:hAnsi="宋体" w:eastAsia="宋体" w:cs="宋体"/>
        <w:spacing w:val="-3"/>
        <w:w w:val="100"/>
        <w:sz w:val="19"/>
        <w:szCs w:val="19"/>
        <w:lang w:val="zh-CN" w:eastAsia="zh-CN" w:bidi="zh-CN"/>
      </w:rPr>
    </w:lvl>
    <w:lvl w:ilvl="1" w:tentative="0">
      <w:start w:val="1"/>
      <w:numFmt w:val="bullet"/>
      <w:lvlText w:val="•"/>
      <w:lvlJc w:val="left"/>
      <w:pPr>
        <w:ind w:left="2020" w:hanging="529"/>
      </w:pPr>
      <w:rPr>
        <w:rFonts w:hint="default"/>
        <w:lang w:val="zh-CN" w:eastAsia="zh-CN" w:bidi="zh-CN"/>
      </w:rPr>
    </w:lvl>
    <w:lvl w:ilvl="2" w:tentative="0">
      <w:start w:val="1"/>
      <w:numFmt w:val="bullet"/>
      <w:lvlText w:val="•"/>
      <w:lvlJc w:val="left"/>
      <w:pPr>
        <w:ind w:left="2860" w:hanging="529"/>
      </w:pPr>
      <w:rPr>
        <w:rFonts w:hint="default"/>
        <w:lang w:val="zh-CN" w:eastAsia="zh-CN" w:bidi="zh-CN"/>
      </w:rPr>
    </w:lvl>
    <w:lvl w:ilvl="3" w:tentative="0">
      <w:start w:val="1"/>
      <w:numFmt w:val="bullet"/>
      <w:lvlText w:val="•"/>
      <w:lvlJc w:val="left"/>
      <w:pPr>
        <w:ind w:left="3700" w:hanging="529"/>
      </w:pPr>
      <w:rPr>
        <w:rFonts w:hint="default"/>
        <w:lang w:val="zh-CN" w:eastAsia="zh-CN" w:bidi="zh-CN"/>
      </w:rPr>
    </w:lvl>
    <w:lvl w:ilvl="4" w:tentative="0">
      <w:start w:val="1"/>
      <w:numFmt w:val="bullet"/>
      <w:lvlText w:val="•"/>
      <w:lvlJc w:val="left"/>
      <w:pPr>
        <w:ind w:left="4540" w:hanging="529"/>
      </w:pPr>
      <w:rPr>
        <w:rFonts w:hint="default"/>
        <w:lang w:val="zh-CN" w:eastAsia="zh-CN" w:bidi="zh-CN"/>
      </w:rPr>
    </w:lvl>
    <w:lvl w:ilvl="5" w:tentative="0">
      <w:start w:val="1"/>
      <w:numFmt w:val="bullet"/>
      <w:lvlText w:val="•"/>
      <w:lvlJc w:val="left"/>
      <w:pPr>
        <w:ind w:left="5380" w:hanging="529"/>
      </w:pPr>
      <w:rPr>
        <w:rFonts w:hint="default"/>
        <w:lang w:val="zh-CN" w:eastAsia="zh-CN" w:bidi="zh-CN"/>
      </w:rPr>
    </w:lvl>
    <w:lvl w:ilvl="6" w:tentative="0">
      <w:start w:val="1"/>
      <w:numFmt w:val="bullet"/>
      <w:lvlText w:val="•"/>
      <w:lvlJc w:val="left"/>
      <w:pPr>
        <w:ind w:left="6220" w:hanging="529"/>
      </w:pPr>
      <w:rPr>
        <w:rFonts w:hint="default"/>
        <w:lang w:val="zh-CN" w:eastAsia="zh-CN" w:bidi="zh-CN"/>
      </w:rPr>
    </w:lvl>
    <w:lvl w:ilvl="7" w:tentative="0">
      <w:start w:val="1"/>
      <w:numFmt w:val="bullet"/>
      <w:lvlText w:val="•"/>
      <w:lvlJc w:val="left"/>
      <w:pPr>
        <w:ind w:left="7060" w:hanging="529"/>
      </w:pPr>
      <w:rPr>
        <w:rFonts w:hint="default"/>
        <w:lang w:val="zh-CN" w:eastAsia="zh-CN" w:bidi="zh-CN"/>
      </w:rPr>
    </w:lvl>
    <w:lvl w:ilvl="8" w:tentative="0">
      <w:start w:val="1"/>
      <w:numFmt w:val="bullet"/>
      <w:lvlText w:val="•"/>
      <w:lvlJc w:val="left"/>
      <w:pPr>
        <w:ind w:left="7900" w:hanging="529"/>
      </w:pPr>
      <w:rPr>
        <w:rFonts w:hint="default"/>
        <w:lang w:val="zh-CN" w:eastAsia="zh-CN" w:bidi="zh-CN"/>
      </w:rPr>
    </w:lvl>
  </w:abstractNum>
  <w:abstractNum w:abstractNumId="10">
    <w:nsid w:val="243FCF68"/>
    <w:multiLevelType w:val="multilevel"/>
    <w:tmpl w:val="243FCF68"/>
    <w:lvl w:ilvl="0" w:tentative="0">
      <w:start w:val="1"/>
      <w:numFmt w:val="decimal"/>
      <w:lvlText w:val="（%1）"/>
      <w:lvlJc w:val="left"/>
      <w:pPr>
        <w:ind w:left="118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1">
    <w:nsid w:val="4D94DA66"/>
    <w:multiLevelType w:val="multilevel"/>
    <w:tmpl w:val="4D94DA66"/>
    <w:lvl w:ilvl="0" w:tentative="0">
      <w:start w:val="1"/>
      <w:numFmt w:val="decimal"/>
      <w:lvlText w:val="（%1）"/>
      <w:lvlJc w:val="left"/>
      <w:pPr>
        <w:ind w:left="240" w:hanging="529"/>
      </w:pPr>
      <w:rPr>
        <w:rFonts w:hint="default" w:ascii="宋体" w:hAnsi="宋体" w:eastAsia="宋体" w:cs="宋体"/>
        <w:spacing w:val="-39"/>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12">
    <w:nsid w:val="60AD9C08"/>
    <w:multiLevelType w:val="singleLevel"/>
    <w:tmpl w:val="60AD9C08"/>
    <w:lvl w:ilvl="0" w:tentative="0">
      <w:start w:val="2"/>
      <w:numFmt w:val="decimal"/>
      <w:suff w:val="nothing"/>
      <w:lvlText w:val="%1．"/>
      <w:lvlJc w:val="left"/>
    </w:lvl>
  </w:abstractNum>
  <w:abstractNum w:abstractNumId="13">
    <w:nsid w:val="7DEC2089"/>
    <w:multiLevelType w:val="multilevel"/>
    <w:tmpl w:val="7DEC2089"/>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186" w:hanging="52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180" w:hanging="526"/>
      </w:pPr>
      <w:rPr>
        <w:rFonts w:hint="default"/>
        <w:lang w:val="zh-CN" w:eastAsia="zh-CN" w:bidi="zh-CN"/>
      </w:rPr>
    </w:lvl>
    <w:lvl w:ilvl="4" w:tentative="0">
      <w:start w:val="0"/>
      <w:numFmt w:val="bullet"/>
      <w:lvlText w:val="•"/>
      <w:lvlJc w:val="left"/>
      <w:pPr>
        <w:ind w:left="2380" w:hanging="526"/>
      </w:pPr>
      <w:rPr>
        <w:rFonts w:hint="default"/>
        <w:lang w:val="zh-CN" w:eastAsia="zh-CN" w:bidi="zh-CN"/>
      </w:rPr>
    </w:lvl>
    <w:lvl w:ilvl="5" w:tentative="0">
      <w:start w:val="0"/>
      <w:numFmt w:val="bullet"/>
      <w:lvlText w:val="•"/>
      <w:lvlJc w:val="left"/>
      <w:pPr>
        <w:ind w:left="3580" w:hanging="526"/>
      </w:pPr>
      <w:rPr>
        <w:rFonts w:hint="default"/>
        <w:lang w:val="zh-CN" w:eastAsia="zh-CN" w:bidi="zh-CN"/>
      </w:rPr>
    </w:lvl>
    <w:lvl w:ilvl="6" w:tentative="0">
      <w:start w:val="0"/>
      <w:numFmt w:val="bullet"/>
      <w:lvlText w:val="•"/>
      <w:lvlJc w:val="left"/>
      <w:pPr>
        <w:ind w:left="4780" w:hanging="526"/>
      </w:pPr>
      <w:rPr>
        <w:rFonts w:hint="default"/>
        <w:lang w:val="zh-CN" w:eastAsia="zh-CN" w:bidi="zh-CN"/>
      </w:rPr>
    </w:lvl>
    <w:lvl w:ilvl="7" w:tentative="0">
      <w:start w:val="0"/>
      <w:numFmt w:val="bullet"/>
      <w:lvlText w:val="•"/>
      <w:lvlJc w:val="left"/>
      <w:pPr>
        <w:ind w:left="5980" w:hanging="526"/>
      </w:pPr>
      <w:rPr>
        <w:rFonts w:hint="default"/>
        <w:lang w:val="zh-CN" w:eastAsia="zh-CN" w:bidi="zh-CN"/>
      </w:rPr>
    </w:lvl>
    <w:lvl w:ilvl="8" w:tentative="0">
      <w:start w:val="0"/>
      <w:numFmt w:val="bullet"/>
      <w:lvlText w:val="•"/>
      <w:lvlJc w:val="left"/>
      <w:pPr>
        <w:ind w:left="7180" w:hanging="526"/>
      </w:pPr>
      <w:rPr>
        <w:rFonts w:hint="default"/>
        <w:lang w:val="zh-CN" w:eastAsia="zh-CN" w:bidi="zh-CN"/>
      </w:rPr>
    </w:lvl>
  </w:abstractNum>
  <w:num w:numId="1">
    <w:abstractNumId w:val="4"/>
  </w:num>
  <w:num w:numId="2">
    <w:abstractNumId w:val="5"/>
  </w:num>
  <w:num w:numId="3">
    <w:abstractNumId w:val="7"/>
  </w:num>
  <w:num w:numId="4">
    <w:abstractNumId w:val="2"/>
  </w:num>
  <w:num w:numId="5">
    <w:abstractNumId w:val="9"/>
  </w:num>
  <w:num w:numId="6">
    <w:abstractNumId w:val="8"/>
  </w:num>
  <w:num w:numId="7">
    <w:abstractNumId w:val="3"/>
  </w:num>
  <w:num w:numId="8">
    <w:abstractNumId w:val="6"/>
  </w:num>
  <w:num w:numId="9">
    <w:abstractNumId w:val="13"/>
  </w:num>
  <w:num w:numId="10">
    <w:abstractNumId w:val="0"/>
  </w:num>
  <w:num w:numId="11">
    <w:abstractNumId w:val="10"/>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FlZWI1NDJiZWUwYTk0ZjBkYjFiNTcxYWJiNTcifQ=="/>
  </w:docVars>
  <w:rsids>
    <w:rsidRoot w:val="00353178"/>
    <w:rsid w:val="00001552"/>
    <w:rsid w:val="00006DFE"/>
    <w:rsid w:val="000079E4"/>
    <w:rsid w:val="0001340D"/>
    <w:rsid w:val="00015C78"/>
    <w:rsid w:val="00016F13"/>
    <w:rsid w:val="0002605B"/>
    <w:rsid w:val="00026B0A"/>
    <w:rsid w:val="00033809"/>
    <w:rsid w:val="0004406F"/>
    <w:rsid w:val="00053F96"/>
    <w:rsid w:val="0005471D"/>
    <w:rsid w:val="00054860"/>
    <w:rsid w:val="00054CD9"/>
    <w:rsid w:val="00063F04"/>
    <w:rsid w:val="00067A35"/>
    <w:rsid w:val="0007311D"/>
    <w:rsid w:val="00073ADE"/>
    <w:rsid w:val="00080F64"/>
    <w:rsid w:val="00080F83"/>
    <w:rsid w:val="0008202E"/>
    <w:rsid w:val="00082F76"/>
    <w:rsid w:val="00084E34"/>
    <w:rsid w:val="00092BD6"/>
    <w:rsid w:val="000A5FFD"/>
    <w:rsid w:val="000B4414"/>
    <w:rsid w:val="000B6FAC"/>
    <w:rsid w:val="000C0D36"/>
    <w:rsid w:val="000C1283"/>
    <w:rsid w:val="000C57AB"/>
    <w:rsid w:val="000C6EFD"/>
    <w:rsid w:val="000C6F1E"/>
    <w:rsid w:val="000D2DF9"/>
    <w:rsid w:val="000D66DA"/>
    <w:rsid w:val="000E35CA"/>
    <w:rsid w:val="000E4718"/>
    <w:rsid w:val="000F4322"/>
    <w:rsid w:val="000F68CA"/>
    <w:rsid w:val="0010385A"/>
    <w:rsid w:val="0010457B"/>
    <w:rsid w:val="001162EF"/>
    <w:rsid w:val="00116E56"/>
    <w:rsid w:val="001179AD"/>
    <w:rsid w:val="00122E64"/>
    <w:rsid w:val="00130427"/>
    <w:rsid w:val="00130A3B"/>
    <w:rsid w:val="00134C94"/>
    <w:rsid w:val="001374E1"/>
    <w:rsid w:val="00137B8E"/>
    <w:rsid w:val="0014037B"/>
    <w:rsid w:val="00141F08"/>
    <w:rsid w:val="00142816"/>
    <w:rsid w:val="00143087"/>
    <w:rsid w:val="00144CD9"/>
    <w:rsid w:val="001459DB"/>
    <w:rsid w:val="0015552F"/>
    <w:rsid w:val="0015795B"/>
    <w:rsid w:val="00157D85"/>
    <w:rsid w:val="00164E79"/>
    <w:rsid w:val="001650D5"/>
    <w:rsid w:val="001666AD"/>
    <w:rsid w:val="00183C40"/>
    <w:rsid w:val="00187C92"/>
    <w:rsid w:val="00190787"/>
    <w:rsid w:val="001932A2"/>
    <w:rsid w:val="00193A0B"/>
    <w:rsid w:val="001A442E"/>
    <w:rsid w:val="001B0D77"/>
    <w:rsid w:val="001B1E95"/>
    <w:rsid w:val="001B2031"/>
    <w:rsid w:val="001B27E7"/>
    <w:rsid w:val="001B3861"/>
    <w:rsid w:val="001C0DEA"/>
    <w:rsid w:val="001C2F4F"/>
    <w:rsid w:val="001C388B"/>
    <w:rsid w:val="001C3907"/>
    <w:rsid w:val="001C7CAA"/>
    <w:rsid w:val="001D6196"/>
    <w:rsid w:val="001D7DDA"/>
    <w:rsid w:val="001E1A98"/>
    <w:rsid w:val="001E2DDF"/>
    <w:rsid w:val="001E6E75"/>
    <w:rsid w:val="00200C26"/>
    <w:rsid w:val="002127FF"/>
    <w:rsid w:val="00224CCF"/>
    <w:rsid w:val="00236D91"/>
    <w:rsid w:val="002436BE"/>
    <w:rsid w:val="00245517"/>
    <w:rsid w:val="0024560D"/>
    <w:rsid w:val="00246A92"/>
    <w:rsid w:val="00261C2F"/>
    <w:rsid w:val="00263E69"/>
    <w:rsid w:val="00264B2E"/>
    <w:rsid w:val="00273F00"/>
    <w:rsid w:val="002761ED"/>
    <w:rsid w:val="0028006F"/>
    <w:rsid w:val="002838C5"/>
    <w:rsid w:val="0028396D"/>
    <w:rsid w:val="00284229"/>
    <w:rsid w:val="00285D69"/>
    <w:rsid w:val="00291623"/>
    <w:rsid w:val="00291C6F"/>
    <w:rsid w:val="00293ADF"/>
    <w:rsid w:val="00296D18"/>
    <w:rsid w:val="002978C4"/>
    <w:rsid w:val="00297A55"/>
    <w:rsid w:val="002A14D4"/>
    <w:rsid w:val="002A2EAE"/>
    <w:rsid w:val="002A64F5"/>
    <w:rsid w:val="002B380A"/>
    <w:rsid w:val="002B4C1C"/>
    <w:rsid w:val="002B76A5"/>
    <w:rsid w:val="002C0A1C"/>
    <w:rsid w:val="002C4ACB"/>
    <w:rsid w:val="002C5FE4"/>
    <w:rsid w:val="002C7334"/>
    <w:rsid w:val="002D00ED"/>
    <w:rsid w:val="002D0842"/>
    <w:rsid w:val="002D44CF"/>
    <w:rsid w:val="002D7A36"/>
    <w:rsid w:val="002D7E38"/>
    <w:rsid w:val="002E5702"/>
    <w:rsid w:val="002F07F1"/>
    <w:rsid w:val="00300E85"/>
    <w:rsid w:val="00306C29"/>
    <w:rsid w:val="003078CF"/>
    <w:rsid w:val="00314D05"/>
    <w:rsid w:val="00316BCB"/>
    <w:rsid w:val="003170D4"/>
    <w:rsid w:val="00320304"/>
    <w:rsid w:val="00326554"/>
    <w:rsid w:val="00327BC7"/>
    <w:rsid w:val="003300FA"/>
    <w:rsid w:val="003422F6"/>
    <w:rsid w:val="00342480"/>
    <w:rsid w:val="00344920"/>
    <w:rsid w:val="00346CCD"/>
    <w:rsid w:val="00350975"/>
    <w:rsid w:val="00351DBB"/>
    <w:rsid w:val="00353178"/>
    <w:rsid w:val="003535B5"/>
    <w:rsid w:val="00354B34"/>
    <w:rsid w:val="0035543B"/>
    <w:rsid w:val="00357C67"/>
    <w:rsid w:val="00357D38"/>
    <w:rsid w:val="00360D2B"/>
    <w:rsid w:val="003629BE"/>
    <w:rsid w:val="003662F9"/>
    <w:rsid w:val="00376E59"/>
    <w:rsid w:val="00384468"/>
    <w:rsid w:val="00391A4B"/>
    <w:rsid w:val="00394D3D"/>
    <w:rsid w:val="0039592D"/>
    <w:rsid w:val="00396161"/>
    <w:rsid w:val="00397016"/>
    <w:rsid w:val="00397080"/>
    <w:rsid w:val="003A245B"/>
    <w:rsid w:val="003A5414"/>
    <w:rsid w:val="003B0425"/>
    <w:rsid w:val="003B39A6"/>
    <w:rsid w:val="003B72C0"/>
    <w:rsid w:val="003C3EBF"/>
    <w:rsid w:val="003C534F"/>
    <w:rsid w:val="003D139F"/>
    <w:rsid w:val="003D13A1"/>
    <w:rsid w:val="003E1211"/>
    <w:rsid w:val="003E1702"/>
    <w:rsid w:val="003E3BFA"/>
    <w:rsid w:val="003F2AE3"/>
    <w:rsid w:val="003F46F5"/>
    <w:rsid w:val="003F5371"/>
    <w:rsid w:val="003F6BFB"/>
    <w:rsid w:val="00407B1E"/>
    <w:rsid w:val="00407B59"/>
    <w:rsid w:val="004106CC"/>
    <w:rsid w:val="00416C71"/>
    <w:rsid w:val="00434404"/>
    <w:rsid w:val="0043601C"/>
    <w:rsid w:val="00436F48"/>
    <w:rsid w:val="00443158"/>
    <w:rsid w:val="00444699"/>
    <w:rsid w:val="00444A48"/>
    <w:rsid w:val="00444E37"/>
    <w:rsid w:val="0044739A"/>
    <w:rsid w:val="004529E2"/>
    <w:rsid w:val="00452DC5"/>
    <w:rsid w:val="004549EC"/>
    <w:rsid w:val="00455C96"/>
    <w:rsid w:val="0045738E"/>
    <w:rsid w:val="00461AA8"/>
    <w:rsid w:val="004663B5"/>
    <w:rsid w:val="00466754"/>
    <w:rsid w:val="004722BE"/>
    <w:rsid w:val="004727BD"/>
    <w:rsid w:val="0047715B"/>
    <w:rsid w:val="00481681"/>
    <w:rsid w:val="00482F3D"/>
    <w:rsid w:val="00483E06"/>
    <w:rsid w:val="00493E61"/>
    <w:rsid w:val="00494757"/>
    <w:rsid w:val="004960B2"/>
    <w:rsid w:val="0049649F"/>
    <w:rsid w:val="0049728E"/>
    <w:rsid w:val="004A2AF8"/>
    <w:rsid w:val="004A6B02"/>
    <w:rsid w:val="004B0542"/>
    <w:rsid w:val="004B1730"/>
    <w:rsid w:val="004B58DE"/>
    <w:rsid w:val="004C152A"/>
    <w:rsid w:val="004C1A4D"/>
    <w:rsid w:val="004C3B12"/>
    <w:rsid w:val="004C450C"/>
    <w:rsid w:val="004C4F78"/>
    <w:rsid w:val="004C6DB8"/>
    <w:rsid w:val="004D0873"/>
    <w:rsid w:val="004D10EE"/>
    <w:rsid w:val="004D6ED2"/>
    <w:rsid w:val="004D755A"/>
    <w:rsid w:val="004E07DB"/>
    <w:rsid w:val="004E174B"/>
    <w:rsid w:val="004E4403"/>
    <w:rsid w:val="004E7BCE"/>
    <w:rsid w:val="004F3BE3"/>
    <w:rsid w:val="004F5587"/>
    <w:rsid w:val="004F6816"/>
    <w:rsid w:val="0050208B"/>
    <w:rsid w:val="00503E22"/>
    <w:rsid w:val="00506CC6"/>
    <w:rsid w:val="005131CE"/>
    <w:rsid w:val="00513CE1"/>
    <w:rsid w:val="00513FCC"/>
    <w:rsid w:val="00522583"/>
    <w:rsid w:val="00522627"/>
    <w:rsid w:val="005232BD"/>
    <w:rsid w:val="00524144"/>
    <w:rsid w:val="005255A5"/>
    <w:rsid w:val="00525D8B"/>
    <w:rsid w:val="005267EC"/>
    <w:rsid w:val="00527079"/>
    <w:rsid w:val="00530D63"/>
    <w:rsid w:val="005356F0"/>
    <w:rsid w:val="00535E41"/>
    <w:rsid w:val="00543E64"/>
    <w:rsid w:val="00555219"/>
    <w:rsid w:val="00556170"/>
    <w:rsid w:val="005627FE"/>
    <w:rsid w:val="00566456"/>
    <w:rsid w:val="00566C24"/>
    <w:rsid w:val="0057179F"/>
    <w:rsid w:val="00577FE5"/>
    <w:rsid w:val="00581C6E"/>
    <w:rsid w:val="005820D6"/>
    <w:rsid w:val="00582F14"/>
    <w:rsid w:val="005951F6"/>
    <w:rsid w:val="005956CB"/>
    <w:rsid w:val="005A7CEA"/>
    <w:rsid w:val="005B046A"/>
    <w:rsid w:val="005B46B2"/>
    <w:rsid w:val="005B6BFE"/>
    <w:rsid w:val="005C38AB"/>
    <w:rsid w:val="005C4343"/>
    <w:rsid w:val="005C64CC"/>
    <w:rsid w:val="005D012D"/>
    <w:rsid w:val="005D2FFE"/>
    <w:rsid w:val="005E2799"/>
    <w:rsid w:val="005E38AD"/>
    <w:rsid w:val="005E4F8D"/>
    <w:rsid w:val="005E6A0A"/>
    <w:rsid w:val="005E794A"/>
    <w:rsid w:val="005F329F"/>
    <w:rsid w:val="005F404C"/>
    <w:rsid w:val="0060082E"/>
    <w:rsid w:val="00602301"/>
    <w:rsid w:val="00604170"/>
    <w:rsid w:val="00605D0C"/>
    <w:rsid w:val="00606AC0"/>
    <w:rsid w:val="00611BBC"/>
    <w:rsid w:val="00611D82"/>
    <w:rsid w:val="00634767"/>
    <w:rsid w:val="00635BC3"/>
    <w:rsid w:val="00640EAA"/>
    <w:rsid w:val="00640F01"/>
    <w:rsid w:val="00653AF2"/>
    <w:rsid w:val="006570F9"/>
    <w:rsid w:val="00660953"/>
    <w:rsid w:val="00663576"/>
    <w:rsid w:val="00663E3A"/>
    <w:rsid w:val="006643CD"/>
    <w:rsid w:val="00665A7D"/>
    <w:rsid w:val="0066605D"/>
    <w:rsid w:val="00666863"/>
    <w:rsid w:val="00666C34"/>
    <w:rsid w:val="006831AF"/>
    <w:rsid w:val="00687607"/>
    <w:rsid w:val="00690B86"/>
    <w:rsid w:val="006921B6"/>
    <w:rsid w:val="0069413A"/>
    <w:rsid w:val="00694B36"/>
    <w:rsid w:val="006A2CFC"/>
    <w:rsid w:val="006A3738"/>
    <w:rsid w:val="006B017A"/>
    <w:rsid w:val="006B0E9E"/>
    <w:rsid w:val="006B2DB8"/>
    <w:rsid w:val="006B5166"/>
    <w:rsid w:val="006B66E7"/>
    <w:rsid w:val="006C52DF"/>
    <w:rsid w:val="006D2403"/>
    <w:rsid w:val="006D28EA"/>
    <w:rsid w:val="006D2AC8"/>
    <w:rsid w:val="006D570F"/>
    <w:rsid w:val="006E0E22"/>
    <w:rsid w:val="006E234F"/>
    <w:rsid w:val="006E782F"/>
    <w:rsid w:val="006F0C15"/>
    <w:rsid w:val="006F0D69"/>
    <w:rsid w:val="006F11B5"/>
    <w:rsid w:val="006F12F3"/>
    <w:rsid w:val="006F60FE"/>
    <w:rsid w:val="006F7B02"/>
    <w:rsid w:val="00702D32"/>
    <w:rsid w:val="00702EF0"/>
    <w:rsid w:val="0070784D"/>
    <w:rsid w:val="00712EA7"/>
    <w:rsid w:val="007130AE"/>
    <w:rsid w:val="00713342"/>
    <w:rsid w:val="00715798"/>
    <w:rsid w:val="00717ABE"/>
    <w:rsid w:val="007232A2"/>
    <w:rsid w:val="00724EEC"/>
    <w:rsid w:val="0073092F"/>
    <w:rsid w:val="007319E6"/>
    <w:rsid w:val="007352DB"/>
    <w:rsid w:val="00735BEF"/>
    <w:rsid w:val="007518FE"/>
    <w:rsid w:val="00753979"/>
    <w:rsid w:val="007555BF"/>
    <w:rsid w:val="007562A5"/>
    <w:rsid w:val="00756452"/>
    <w:rsid w:val="0076073C"/>
    <w:rsid w:val="00760E3D"/>
    <w:rsid w:val="00761A2D"/>
    <w:rsid w:val="00766B7D"/>
    <w:rsid w:val="00767D97"/>
    <w:rsid w:val="00771642"/>
    <w:rsid w:val="007718AA"/>
    <w:rsid w:val="00771B5A"/>
    <w:rsid w:val="00771E5E"/>
    <w:rsid w:val="007751CB"/>
    <w:rsid w:val="007769EC"/>
    <w:rsid w:val="0078311F"/>
    <w:rsid w:val="00785F20"/>
    <w:rsid w:val="00787747"/>
    <w:rsid w:val="0079153E"/>
    <w:rsid w:val="0079492F"/>
    <w:rsid w:val="007949D6"/>
    <w:rsid w:val="007A104E"/>
    <w:rsid w:val="007A1C49"/>
    <w:rsid w:val="007A74A6"/>
    <w:rsid w:val="007B1C79"/>
    <w:rsid w:val="007B1E1D"/>
    <w:rsid w:val="007B32E7"/>
    <w:rsid w:val="007B3B60"/>
    <w:rsid w:val="007B3F86"/>
    <w:rsid w:val="007B4F0B"/>
    <w:rsid w:val="007B78A3"/>
    <w:rsid w:val="007C6308"/>
    <w:rsid w:val="007C6FED"/>
    <w:rsid w:val="007D10FF"/>
    <w:rsid w:val="007D67CB"/>
    <w:rsid w:val="007E1A38"/>
    <w:rsid w:val="007E5448"/>
    <w:rsid w:val="007E6200"/>
    <w:rsid w:val="007E7894"/>
    <w:rsid w:val="007F3091"/>
    <w:rsid w:val="007F44B1"/>
    <w:rsid w:val="007F680B"/>
    <w:rsid w:val="007F7C17"/>
    <w:rsid w:val="00801517"/>
    <w:rsid w:val="008052F6"/>
    <w:rsid w:val="00814BF1"/>
    <w:rsid w:val="00835656"/>
    <w:rsid w:val="008432B4"/>
    <w:rsid w:val="00844612"/>
    <w:rsid w:val="00844E5D"/>
    <w:rsid w:val="00846967"/>
    <w:rsid w:val="0084705C"/>
    <w:rsid w:val="008504E6"/>
    <w:rsid w:val="00852E49"/>
    <w:rsid w:val="00853BC4"/>
    <w:rsid w:val="0085582C"/>
    <w:rsid w:val="008604A2"/>
    <w:rsid w:val="008610AE"/>
    <w:rsid w:val="00862F66"/>
    <w:rsid w:val="00867CDC"/>
    <w:rsid w:val="00872A44"/>
    <w:rsid w:val="00875F69"/>
    <w:rsid w:val="008761E9"/>
    <w:rsid w:val="00883E07"/>
    <w:rsid w:val="008912A9"/>
    <w:rsid w:val="00892879"/>
    <w:rsid w:val="00893F6D"/>
    <w:rsid w:val="00896038"/>
    <w:rsid w:val="00896541"/>
    <w:rsid w:val="00897401"/>
    <w:rsid w:val="008A1ADF"/>
    <w:rsid w:val="008A49A3"/>
    <w:rsid w:val="008A7A46"/>
    <w:rsid w:val="008B1EAA"/>
    <w:rsid w:val="008B3505"/>
    <w:rsid w:val="008B4C79"/>
    <w:rsid w:val="008B56C6"/>
    <w:rsid w:val="008C02D3"/>
    <w:rsid w:val="008C6FC6"/>
    <w:rsid w:val="008C70C6"/>
    <w:rsid w:val="008D0EB1"/>
    <w:rsid w:val="008D1370"/>
    <w:rsid w:val="008D4857"/>
    <w:rsid w:val="008E68B4"/>
    <w:rsid w:val="008F1EBC"/>
    <w:rsid w:val="008F3B76"/>
    <w:rsid w:val="008F5D8E"/>
    <w:rsid w:val="009011E1"/>
    <w:rsid w:val="009013A5"/>
    <w:rsid w:val="00903ED3"/>
    <w:rsid w:val="009102F8"/>
    <w:rsid w:val="00914CB2"/>
    <w:rsid w:val="00916342"/>
    <w:rsid w:val="00916DA4"/>
    <w:rsid w:val="00917072"/>
    <w:rsid w:val="009175AA"/>
    <w:rsid w:val="00920AA9"/>
    <w:rsid w:val="009247D1"/>
    <w:rsid w:val="00930599"/>
    <w:rsid w:val="00931B3F"/>
    <w:rsid w:val="009345B1"/>
    <w:rsid w:val="00940A54"/>
    <w:rsid w:val="00940F61"/>
    <w:rsid w:val="009429A9"/>
    <w:rsid w:val="00945C43"/>
    <w:rsid w:val="009511B8"/>
    <w:rsid w:val="00953A2B"/>
    <w:rsid w:val="0095572B"/>
    <w:rsid w:val="0095712A"/>
    <w:rsid w:val="009605C9"/>
    <w:rsid w:val="00963060"/>
    <w:rsid w:val="00976940"/>
    <w:rsid w:val="009810EA"/>
    <w:rsid w:val="00981E99"/>
    <w:rsid w:val="009851AE"/>
    <w:rsid w:val="009865C4"/>
    <w:rsid w:val="009937B2"/>
    <w:rsid w:val="00994DBC"/>
    <w:rsid w:val="0099744B"/>
    <w:rsid w:val="009A44D7"/>
    <w:rsid w:val="009A4F8F"/>
    <w:rsid w:val="009A6155"/>
    <w:rsid w:val="009B216C"/>
    <w:rsid w:val="009B22BA"/>
    <w:rsid w:val="009B2FE6"/>
    <w:rsid w:val="009B61F3"/>
    <w:rsid w:val="009C5DB0"/>
    <w:rsid w:val="009C6620"/>
    <w:rsid w:val="009C69B3"/>
    <w:rsid w:val="009D0C08"/>
    <w:rsid w:val="009D152C"/>
    <w:rsid w:val="009D3561"/>
    <w:rsid w:val="009D539A"/>
    <w:rsid w:val="009D5FC2"/>
    <w:rsid w:val="009D776D"/>
    <w:rsid w:val="009E0C1F"/>
    <w:rsid w:val="009F003B"/>
    <w:rsid w:val="009F0547"/>
    <w:rsid w:val="009F5165"/>
    <w:rsid w:val="009F670D"/>
    <w:rsid w:val="009F7E04"/>
    <w:rsid w:val="00A0148C"/>
    <w:rsid w:val="00A01C3B"/>
    <w:rsid w:val="00A025F6"/>
    <w:rsid w:val="00A15FF3"/>
    <w:rsid w:val="00A17EC2"/>
    <w:rsid w:val="00A20278"/>
    <w:rsid w:val="00A2659D"/>
    <w:rsid w:val="00A33ADF"/>
    <w:rsid w:val="00A4178C"/>
    <w:rsid w:val="00A45BFC"/>
    <w:rsid w:val="00A50663"/>
    <w:rsid w:val="00A54041"/>
    <w:rsid w:val="00A54798"/>
    <w:rsid w:val="00A54F60"/>
    <w:rsid w:val="00A578D5"/>
    <w:rsid w:val="00A604B1"/>
    <w:rsid w:val="00A6125B"/>
    <w:rsid w:val="00A666E3"/>
    <w:rsid w:val="00A67EFA"/>
    <w:rsid w:val="00A704EB"/>
    <w:rsid w:val="00A73DF9"/>
    <w:rsid w:val="00A74465"/>
    <w:rsid w:val="00A75A29"/>
    <w:rsid w:val="00A762C5"/>
    <w:rsid w:val="00A82895"/>
    <w:rsid w:val="00A836DE"/>
    <w:rsid w:val="00A841AA"/>
    <w:rsid w:val="00A84917"/>
    <w:rsid w:val="00A90CF1"/>
    <w:rsid w:val="00A90E7F"/>
    <w:rsid w:val="00A9151B"/>
    <w:rsid w:val="00A91C42"/>
    <w:rsid w:val="00A96488"/>
    <w:rsid w:val="00A9758D"/>
    <w:rsid w:val="00AA22F8"/>
    <w:rsid w:val="00AA79BD"/>
    <w:rsid w:val="00AB25A5"/>
    <w:rsid w:val="00AB2C19"/>
    <w:rsid w:val="00AB5F68"/>
    <w:rsid w:val="00AC6F20"/>
    <w:rsid w:val="00AD381D"/>
    <w:rsid w:val="00AE31C0"/>
    <w:rsid w:val="00AE7F7C"/>
    <w:rsid w:val="00AF1E46"/>
    <w:rsid w:val="00AF317C"/>
    <w:rsid w:val="00AF39FC"/>
    <w:rsid w:val="00AF6475"/>
    <w:rsid w:val="00AF6AB1"/>
    <w:rsid w:val="00B01729"/>
    <w:rsid w:val="00B0463E"/>
    <w:rsid w:val="00B071B5"/>
    <w:rsid w:val="00B07B9F"/>
    <w:rsid w:val="00B11133"/>
    <w:rsid w:val="00B13805"/>
    <w:rsid w:val="00B21336"/>
    <w:rsid w:val="00B226AA"/>
    <w:rsid w:val="00B23D1C"/>
    <w:rsid w:val="00B25E8A"/>
    <w:rsid w:val="00B30B0E"/>
    <w:rsid w:val="00B3229E"/>
    <w:rsid w:val="00B36AA5"/>
    <w:rsid w:val="00B37AA9"/>
    <w:rsid w:val="00B40D1D"/>
    <w:rsid w:val="00B4121B"/>
    <w:rsid w:val="00B44323"/>
    <w:rsid w:val="00B50274"/>
    <w:rsid w:val="00B51EE8"/>
    <w:rsid w:val="00B560B8"/>
    <w:rsid w:val="00B56425"/>
    <w:rsid w:val="00B61E38"/>
    <w:rsid w:val="00B62B40"/>
    <w:rsid w:val="00B62E46"/>
    <w:rsid w:val="00B62EF7"/>
    <w:rsid w:val="00B67865"/>
    <w:rsid w:val="00B71EA5"/>
    <w:rsid w:val="00B74170"/>
    <w:rsid w:val="00B76298"/>
    <w:rsid w:val="00B766B1"/>
    <w:rsid w:val="00B767A3"/>
    <w:rsid w:val="00B7764E"/>
    <w:rsid w:val="00B83B63"/>
    <w:rsid w:val="00B83FA3"/>
    <w:rsid w:val="00B859E0"/>
    <w:rsid w:val="00B93A4E"/>
    <w:rsid w:val="00B94BF0"/>
    <w:rsid w:val="00B960B8"/>
    <w:rsid w:val="00BA2102"/>
    <w:rsid w:val="00BA4970"/>
    <w:rsid w:val="00BA5442"/>
    <w:rsid w:val="00BA62E1"/>
    <w:rsid w:val="00BB4FC6"/>
    <w:rsid w:val="00BB6B2E"/>
    <w:rsid w:val="00BC3B94"/>
    <w:rsid w:val="00BC73AF"/>
    <w:rsid w:val="00BD4C75"/>
    <w:rsid w:val="00BD5275"/>
    <w:rsid w:val="00BD54F8"/>
    <w:rsid w:val="00BE4220"/>
    <w:rsid w:val="00BE76E0"/>
    <w:rsid w:val="00BF23D8"/>
    <w:rsid w:val="00BF61AC"/>
    <w:rsid w:val="00C004FC"/>
    <w:rsid w:val="00C069B7"/>
    <w:rsid w:val="00C0759E"/>
    <w:rsid w:val="00C10C93"/>
    <w:rsid w:val="00C13548"/>
    <w:rsid w:val="00C15574"/>
    <w:rsid w:val="00C161FD"/>
    <w:rsid w:val="00C223E3"/>
    <w:rsid w:val="00C25FDF"/>
    <w:rsid w:val="00C26EC4"/>
    <w:rsid w:val="00C27323"/>
    <w:rsid w:val="00C27C7B"/>
    <w:rsid w:val="00C27F88"/>
    <w:rsid w:val="00C30B6C"/>
    <w:rsid w:val="00C36304"/>
    <w:rsid w:val="00C37793"/>
    <w:rsid w:val="00C407F8"/>
    <w:rsid w:val="00C417B3"/>
    <w:rsid w:val="00C46483"/>
    <w:rsid w:val="00C53931"/>
    <w:rsid w:val="00C60A22"/>
    <w:rsid w:val="00C628D9"/>
    <w:rsid w:val="00C62D4C"/>
    <w:rsid w:val="00C654EC"/>
    <w:rsid w:val="00C67589"/>
    <w:rsid w:val="00C82371"/>
    <w:rsid w:val="00C83763"/>
    <w:rsid w:val="00C8424A"/>
    <w:rsid w:val="00C85746"/>
    <w:rsid w:val="00C874FE"/>
    <w:rsid w:val="00C9011B"/>
    <w:rsid w:val="00C91226"/>
    <w:rsid w:val="00C9251B"/>
    <w:rsid w:val="00C92B5F"/>
    <w:rsid w:val="00C95BA6"/>
    <w:rsid w:val="00C9767C"/>
    <w:rsid w:val="00CB09A1"/>
    <w:rsid w:val="00CB42C9"/>
    <w:rsid w:val="00CB6787"/>
    <w:rsid w:val="00CC16DA"/>
    <w:rsid w:val="00CC16E4"/>
    <w:rsid w:val="00CD1B66"/>
    <w:rsid w:val="00CD2F4A"/>
    <w:rsid w:val="00CD480F"/>
    <w:rsid w:val="00CE1A70"/>
    <w:rsid w:val="00CE5528"/>
    <w:rsid w:val="00CE743A"/>
    <w:rsid w:val="00CF4CDF"/>
    <w:rsid w:val="00D07D2F"/>
    <w:rsid w:val="00D117DE"/>
    <w:rsid w:val="00D12DB1"/>
    <w:rsid w:val="00D1630D"/>
    <w:rsid w:val="00D17B38"/>
    <w:rsid w:val="00D20FD4"/>
    <w:rsid w:val="00D21947"/>
    <w:rsid w:val="00D23A5C"/>
    <w:rsid w:val="00D244F1"/>
    <w:rsid w:val="00D24AD1"/>
    <w:rsid w:val="00D32904"/>
    <w:rsid w:val="00D35AE1"/>
    <w:rsid w:val="00D43D36"/>
    <w:rsid w:val="00D4740E"/>
    <w:rsid w:val="00D5064C"/>
    <w:rsid w:val="00D50AB8"/>
    <w:rsid w:val="00D6183C"/>
    <w:rsid w:val="00D62A85"/>
    <w:rsid w:val="00D655C6"/>
    <w:rsid w:val="00D74481"/>
    <w:rsid w:val="00D74528"/>
    <w:rsid w:val="00D76163"/>
    <w:rsid w:val="00D77604"/>
    <w:rsid w:val="00D81536"/>
    <w:rsid w:val="00D86C60"/>
    <w:rsid w:val="00D97F15"/>
    <w:rsid w:val="00DA1CF6"/>
    <w:rsid w:val="00DA3DC5"/>
    <w:rsid w:val="00DA41F9"/>
    <w:rsid w:val="00DA6A12"/>
    <w:rsid w:val="00DA78BD"/>
    <w:rsid w:val="00DB066C"/>
    <w:rsid w:val="00DB0AA2"/>
    <w:rsid w:val="00DB3D18"/>
    <w:rsid w:val="00DB422E"/>
    <w:rsid w:val="00DB46B5"/>
    <w:rsid w:val="00DB53E4"/>
    <w:rsid w:val="00DC22A3"/>
    <w:rsid w:val="00DC2C31"/>
    <w:rsid w:val="00DC2E9F"/>
    <w:rsid w:val="00DC4E3C"/>
    <w:rsid w:val="00DC53A0"/>
    <w:rsid w:val="00DD00C7"/>
    <w:rsid w:val="00DD0B1D"/>
    <w:rsid w:val="00DD1FF7"/>
    <w:rsid w:val="00DD2C20"/>
    <w:rsid w:val="00DD2CE1"/>
    <w:rsid w:val="00DD49C3"/>
    <w:rsid w:val="00DE0087"/>
    <w:rsid w:val="00DE3CD0"/>
    <w:rsid w:val="00DE45BE"/>
    <w:rsid w:val="00DF15D4"/>
    <w:rsid w:val="00DF1AEA"/>
    <w:rsid w:val="00DF6BBF"/>
    <w:rsid w:val="00DF79F8"/>
    <w:rsid w:val="00E003B4"/>
    <w:rsid w:val="00E07377"/>
    <w:rsid w:val="00E160F0"/>
    <w:rsid w:val="00E17E6E"/>
    <w:rsid w:val="00E235CF"/>
    <w:rsid w:val="00E33798"/>
    <w:rsid w:val="00E338A8"/>
    <w:rsid w:val="00E405E5"/>
    <w:rsid w:val="00E45BA1"/>
    <w:rsid w:val="00E46C92"/>
    <w:rsid w:val="00E470A5"/>
    <w:rsid w:val="00E47193"/>
    <w:rsid w:val="00E50A35"/>
    <w:rsid w:val="00E532F2"/>
    <w:rsid w:val="00E54597"/>
    <w:rsid w:val="00E54FEA"/>
    <w:rsid w:val="00E57380"/>
    <w:rsid w:val="00E62C36"/>
    <w:rsid w:val="00E63523"/>
    <w:rsid w:val="00E63647"/>
    <w:rsid w:val="00E64530"/>
    <w:rsid w:val="00E650F5"/>
    <w:rsid w:val="00E6569A"/>
    <w:rsid w:val="00E66026"/>
    <w:rsid w:val="00E6702B"/>
    <w:rsid w:val="00E70A66"/>
    <w:rsid w:val="00E74253"/>
    <w:rsid w:val="00E7439C"/>
    <w:rsid w:val="00E7556A"/>
    <w:rsid w:val="00E8100E"/>
    <w:rsid w:val="00E84798"/>
    <w:rsid w:val="00EA4B07"/>
    <w:rsid w:val="00EA5F4B"/>
    <w:rsid w:val="00EB0204"/>
    <w:rsid w:val="00EB70BD"/>
    <w:rsid w:val="00EC0019"/>
    <w:rsid w:val="00EC57C2"/>
    <w:rsid w:val="00ED0A59"/>
    <w:rsid w:val="00ED46E2"/>
    <w:rsid w:val="00EE00ED"/>
    <w:rsid w:val="00EE2952"/>
    <w:rsid w:val="00EF3C2B"/>
    <w:rsid w:val="00EF4316"/>
    <w:rsid w:val="00EF6460"/>
    <w:rsid w:val="00EF7710"/>
    <w:rsid w:val="00F00E8A"/>
    <w:rsid w:val="00F04A6E"/>
    <w:rsid w:val="00F169FD"/>
    <w:rsid w:val="00F16B0B"/>
    <w:rsid w:val="00F17916"/>
    <w:rsid w:val="00F17B3C"/>
    <w:rsid w:val="00F21D67"/>
    <w:rsid w:val="00F261F2"/>
    <w:rsid w:val="00F26396"/>
    <w:rsid w:val="00F265E8"/>
    <w:rsid w:val="00F27404"/>
    <w:rsid w:val="00F3239E"/>
    <w:rsid w:val="00F34619"/>
    <w:rsid w:val="00F34E09"/>
    <w:rsid w:val="00F35EDE"/>
    <w:rsid w:val="00F36179"/>
    <w:rsid w:val="00F37646"/>
    <w:rsid w:val="00F43A69"/>
    <w:rsid w:val="00F505A6"/>
    <w:rsid w:val="00F516C8"/>
    <w:rsid w:val="00F554D9"/>
    <w:rsid w:val="00F57901"/>
    <w:rsid w:val="00F62197"/>
    <w:rsid w:val="00F631DD"/>
    <w:rsid w:val="00F7381E"/>
    <w:rsid w:val="00F758FF"/>
    <w:rsid w:val="00F76B65"/>
    <w:rsid w:val="00F82CA5"/>
    <w:rsid w:val="00F852D5"/>
    <w:rsid w:val="00F943C8"/>
    <w:rsid w:val="00F975B5"/>
    <w:rsid w:val="00FA36D0"/>
    <w:rsid w:val="00FA42FE"/>
    <w:rsid w:val="00FA6604"/>
    <w:rsid w:val="00FA7111"/>
    <w:rsid w:val="00FB38A1"/>
    <w:rsid w:val="00FB7355"/>
    <w:rsid w:val="00FC10F0"/>
    <w:rsid w:val="00FC16FD"/>
    <w:rsid w:val="00FC4630"/>
    <w:rsid w:val="00FD3EB8"/>
    <w:rsid w:val="00FD464E"/>
    <w:rsid w:val="00FD59BD"/>
    <w:rsid w:val="00FE5CF1"/>
    <w:rsid w:val="01105C25"/>
    <w:rsid w:val="01377F6F"/>
    <w:rsid w:val="01750F4E"/>
    <w:rsid w:val="02D11980"/>
    <w:rsid w:val="03200CE7"/>
    <w:rsid w:val="033C7036"/>
    <w:rsid w:val="03BE3540"/>
    <w:rsid w:val="04814D63"/>
    <w:rsid w:val="0556469C"/>
    <w:rsid w:val="057B5C57"/>
    <w:rsid w:val="057F7572"/>
    <w:rsid w:val="05A754BC"/>
    <w:rsid w:val="06606312"/>
    <w:rsid w:val="068638C1"/>
    <w:rsid w:val="07026C07"/>
    <w:rsid w:val="07180871"/>
    <w:rsid w:val="071F63B5"/>
    <w:rsid w:val="072423AD"/>
    <w:rsid w:val="07EB488E"/>
    <w:rsid w:val="0814096D"/>
    <w:rsid w:val="082B6CD7"/>
    <w:rsid w:val="08491014"/>
    <w:rsid w:val="08503D3A"/>
    <w:rsid w:val="08825E4F"/>
    <w:rsid w:val="09096CFA"/>
    <w:rsid w:val="092409F6"/>
    <w:rsid w:val="0953086C"/>
    <w:rsid w:val="096A7396"/>
    <w:rsid w:val="096D6C41"/>
    <w:rsid w:val="09BA4F3C"/>
    <w:rsid w:val="0A0C5C88"/>
    <w:rsid w:val="0A3770F6"/>
    <w:rsid w:val="0AAC2525"/>
    <w:rsid w:val="0ACF1925"/>
    <w:rsid w:val="0ADB7735"/>
    <w:rsid w:val="0BC55D3E"/>
    <w:rsid w:val="0C761482"/>
    <w:rsid w:val="0C9A7FE4"/>
    <w:rsid w:val="0D064EC2"/>
    <w:rsid w:val="0D864993"/>
    <w:rsid w:val="0D9E613F"/>
    <w:rsid w:val="0E560569"/>
    <w:rsid w:val="0E857104"/>
    <w:rsid w:val="0EAB4612"/>
    <w:rsid w:val="0EC146A6"/>
    <w:rsid w:val="0EEE2361"/>
    <w:rsid w:val="0EF528DA"/>
    <w:rsid w:val="0F3020AA"/>
    <w:rsid w:val="0F482EF8"/>
    <w:rsid w:val="0F535497"/>
    <w:rsid w:val="0F784FB5"/>
    <w:rsid w:val="0F9664DC"/>
    <w:rsid w:val="0F977B31"/>
    <w:rsid w:val="0FF55EC8"/>
    <w:rsid w:val="102157F4"/>
    <w:rsid w:val="10F41A93"/>
    <w:rsid w:val="10F618DE"/>
    <w:rsid w:val="10F82C9C"/>
    <w:rsid w:val="12C55EF2"/>
    <w:rsid w:val="141D4FFA"/>
    <w:rsid w:val="1451589E"/>
    <w:rsid w:val="14656219"/>
    <w:rsid w:val="14662D03"/>
    <w:rsid w:val="1467075D"/>
    <w:rsid w:val="14900211"/>
    <w:rsid w:val="14924CFB"/>
    <w:rsid w:val="14C61907"/>
    <w:rsid w:val="15191725"/>
    <w:rsid w:val="1579710E"/>
    <w:rsid w:val="15C13EDA"/>
    <w:rsid w:val="15DB0F8D"/>
    <w:rsid w:val="15E213DA"/>
    <w:rsid w:val="15EF4B82"/>
    <w:rsid w:val="16090BF7"/>
    <w:rsid w:val="168D1735"/>
    <w:rsid w:val="173F03B3"/>
    <w:rsid w:val="17B9536F"/>
    <w:rsid w:val="17CD2236"/>
    <w:rsid w:val="17F95DB8"/>
    <w:rsid w:val="18521203"/>
    <w:rsid w:val="18A6088C"/>
    <w:rsid w:val="18B875F9"/>
    <w:rsid w:val="18C525E8"/>
    <w:rsid w:val="192C6E97"/>
    <w:rsid w:val="1A625790"/>
    <w:rsid w:val="1A890964"/>
    <w:rsid w:val="1A9C1DF3"/>
    <w:rsid w:val="1AE654CC"/>
    <w:rsid w:val="1BAA1049"/>
    <w:rsid w:val="1BDA6FE3"/>
    <w:rsid w:val="1C4E6EBC"/>
    <w:rsid w:val="1CBB4C30"/>
    <w:rsid w:val="1D5D19DC"/>
    <w:rsid w:val="1D6F21B8"/>
    <w:rsid w:val="1DD0640F"/>
    <w:rsid w:val="1E311FFD"/>
    <w:rsid w:val="1E694188"/>
    <w:rsid w:val="1EEA5B98"/>
    <w:rsid w:val="1F76439D"/>
    <w:rsid w:val="1F781B03"/>
    <w:rsid w:val="1FEF0D8D"/>
    <w:rsid w:val="206320A8"/>
    <w:rsid w:val="21B53EDC"/>
    <w:rsid w:val="21D45A5D"/>
    <w:rsid w:val="21F658BA"/>
    <w:rsid w:val="222A6226"/>
    <w:rsid w:val="226741BE"/>
    <w:rsid w:val="228C75A5"/>
    <w:rsid w:val="22AD4496"/>
    <w:rsid w:val="22C03380"/>
    <w:rsid w:val="236656A2"/>
    <w:rsid w:val="243B6839"/>
    <w:rsid w:val="24C47A50"/>
    <w:rsid w:val="24D453FE"/>
    <w:rsid w:val="2511398A"/>
    <w:rsid w:val="252E6633"/>
    <w:rsid w:val="25891755"/>
    <w:rsid w:val="2593069C"/>
    <w:rsid w:val="26323372"/>
    <w:rsid w:val="26337E23"/>
    <w:rsid w:val="264F29DF"/>
    <w:rsid w:val="267A616A"/>
    <w:rsid w:val="267E4681"/>
    <w:rsid w:val="272C4857"/>
    <w:rsid w:val="2752398D"/>
    <w:rsid w:val="27B6719A"/>
    <w:rsid w:val="27E6542D"/>
    <w:rsid w:val="280657BC"/>
    <w:rsid w:val="28B3586A"/>
    <w:rsid w:val="294A298D"/>
    <w:rsid w:val="2A7C3E84"/>
    <w:rsid w:val="2AE503C4"/>
    <w:rsid w:val="2B301049"/>
    <w:rsid w:val="2B8E4590"/>
    <w:rsid w:val="2BCF4A30"/>
    <w:rsid w:val="2C326C3C"/>
    <w:rsid w:val="2CC376BD"/>
    <w:rsid w:val="2CD613DB"/>
    <w:rsid w:val="2D471E6B"/>
    <w:rsid w:val="2D67286C"/>
    <w:rsid w:val="2D8B686B"/>
    <w:rsid w:val="2DD143FB"/>
    <w:rsid w:val="2E222466"/>
    <w:rsid w:val="2E2E42E3"/>
    <w:rsid w:val="2E4F6126"/>
    <w:rsid w:val="2E8C68BB"/>
    <w:rsid w:val="2F880DEC"/>
    <w:rsid w:val="2FCD4847"/>
    <w:rsid w:val="2FD63B2B"/>
    <w:rsid w:val="2FFB332D"/>
    <w:rsid w:val="30937579"/>
    <w:rsid w:val="30D358F7"/>
    <w:rsid w:val="30D35A55"/>
    <w:rsid w:val="31CF5000"/>
    <w:rsid w:val="31E851E4"/>
    <w:rsid w:val="32133F42"/>
    <w:rsid w:val="327E165D"/>
    <w:rsid w:val="336F3C50"/>
    <w:rsid w:val="346C3D8E"/>
    <w:rsid w:val="34D010D7"/>
    <w:rsid w:val="34D817B8"/>
    <w:rsid w:val="34E665AA"/>
    <w:rsid w:val="36291A63"/>
    <w:rsid w:val="36542AFA"/>
    <w:rsid w:val="36BB16A8"/>
    <w:rsid w:val="37397F0F"/>
    <w:rsid w:val="37651B83"/>
    <w:rsid w:val="37812012"/>
    <w:rsid w:val="38BB06C3"/>
    <w:rsid w:val="38EE7E4A"/>
    <w:rsid w:val="391D7155"/>
    <w:rsid w:val="3A53659D"/>
    <w:rsid w:val="3ABC4694"/>
    <w:rsid w:val="3B9A090E"/>
    <w:rsid w:val="3BB36577"/>
    <w:rsid w:val="3C9829A6"/>
    <w:rsid w:val="3CF92A9A"/>
    <w:rsid w:val="3D3B2AD4"/>
    <w:rsid w:val="3D407594"/>
    <w:rsid w:val="3D9430E4"/>
    <w:rsid w:val="3DD65FFE"/>
    <w:rsid w:val="3E0E7C60"/>
    <w:rsid w:val="3E780E66"/>
    <w:rsid w:val="3EBD2BEB"/>
    <w:rsid w:val="3F4D07B1"/>
    <w:rsid w:val="3F500BC7"/>
    <w:rsid w:val="3F8B3CBC"/>
    <w:rsid w:val="3FF36CD5"/>
    <w:rsid w:val="3FFF18DA"/>
    <w:rsid w:val="40B03CFF"/>
    <w:rsid w:val="415D3D3C"/>
    <w:rsid w:val="420052FB"/>
    <w:rsid w:val="42253FF3"/>
    <w:rsid w:val="42664DAA"/>
    <w:rsid w:val="431C0BF6"/>
    <w:rsid w:val="44555F92"/>
    <w:rsid w:val="4466518B"/>
    <w:rsid w:val="4561233D"/>
    <w:rsid w:val="458F220B"/>
    <w:rsid w:val="45C07F92"/>
    <w:rsid w:val="45F6422F"/>
    <w:rsid w:val="47C16D2B"/>
    <w:rsid w:val="48377C95"/>
    <w:rsid w:val="49372E4C"/>
    <w:rsid w:val="4975420F"/>
    <w:rsid w:val="4A1146F2"/>
    <w:rsid w:val="4A912797"/>
    <w:rsid w:val="4AEB296A"/>
    <w:rsid w:val="4B1A52A3"/>
    <w:rsid w:val="4B1F46AF"/>
    <w:rsid w:val="4BEB044B"/>
    <w:rsid w:val="4C115BB6"/>
    <w:rsid w:val="4C213FD2"/>
    <w:rsid w:val="4C9A41D6"/>
    <w:rsid w:val="4CF21F2E"/>
    <w:rsid w:val="4D92640D"/>
    <w:rsid w:val="4E346325"/>
    <w:rsid w:val="4E3837BE"/>
    <w:rsid w:val="4EE82C41"/>
    <w:rsid w:val="4F1E6AE0"/>
    <w:rsid w:val="4F3B4622"/>
    <w:rsid w:val="50C954DB"/>
    <w:rsid w:val="519905A9"/>
    <w:rsid w:val="52474449"/>
    <w:rsid w:val="52700392"/>
    <w:rsid w:val="52C464AC"/>
    <w:rsid w:val="53769128"/>
    <w:rsid w:val="538076E7"/>
    <w:rsid w:val="540D38CD"/>
    <w:rsid w:val="542805AF"/>
    <w:rsid w:val="5464212D"/>
    <w:rsid w:val="54FA3DC5"/>
    <w:rsid w:val="55335FA5"/>
    <w:rsid w:val="554568EF"/>
    <w:rsid w:val="5584103B"/>
    <w:rsid w:val="55900594"/>
    <w:rsid w:val="55CA2A85"/>
    <w:rsid w:val="55EE4279"/>
    <w:rsid w:val="56612372"/>
    <w:rsid w:val="567224A8"/>
    <w:rsid w:val="56852A03"/>
    <w:rsid w:val="57561A80"/>
    <w:rsid w:val="575D1B5F"/>
    <w:rsid w:val="57EF7198"/>
    <w:rsid w:val="58072652"/>
    <w:rsid w:val="583A0CE9"/>
    <w:rsid w:val="584555DF"/>
    <w:rsid w:val="58A24C5C"/>
    <w:rsid w:val="58A95D43"/>
    <w:rsid w:val="58C81109"/>
    <w:rsid w:val="593B4E7B"/>
    <w:rsid w:val="593C098C"/>
    <w:rsid w:val="595A63B1"/>
    <w:rsid w:val="59A11219"/>
    <w:rsid w:val="5A510C9C"/>
    <w:rsid w:val="5B587147"/>
    <w:rsid w:val="5BAB664B"/>
    <w:rsid w:val="5BD56331"/>
    <w:rsid w:val="5BDF7A1E"/>
    <w:rsid w:val="5C264B0E"/>
    <w:rsid w:val="5CCB181A"/>
    <w:rsid w:val="5DA774AD"/>
    <w:rsid w:val="5DAA299A"/>
    <w:rsid w:val="5FD346A9"/>
    <w:rsid w:val="610B7F1B"/>
    <w:rsid w:val="614451A7"/>
    <w:rsid w:val="624D62B6"/>
    <w:rsid w:val="625B4016"/>
    <w:rsid w:val="62A254B8"/>
    <w:rsid w:val="62C33C77"/>
    <w:rsid w:val="63165579"/>
    <w:rsid w:val="63250889"/>
    <w:rsid w:val="63730A49"/>
    <w:rsid w:val="63A034B0"/>
    <w:rsid w:val="63F87EA3"/>
    <w:rsid w:val="645F1EA4"/>
    <w:rsid w:val="64E37314"/>
    <w:rsid w:val="65B61346"/>
    <w:rsid w:val="66BD130E"/>
    <w:rsid w:val="66C24699"/>
    <w:rsid w:val="67465766"/>
    <w:rsid w:val="67B0193D"/>
    <w:rsid w:val="67F3390B"/>
    <w:rsid w:val="68F34BB9"/>
    <w:rsid w:val="68FB2032"/>
    <w:rsid w:val="69774CC1"/>
    <w:rsid w:val="69CD1A57"/>
    <w:rsid w:val="69D40055"/>
    <w:rsid w:val="69EE0618"/>
    <w:rsid w:val="6A8A4FB9"/>
    <w:rsid w:val="6BC12F21"/>
    <w:rsid w:val="6C3E6297"/>
    <w:rsid w:val="6C7D3C76"/>
    <w:rsid w:val="6CC92047"/>
    <w:rsid w:val="6CFD48D0"/>
    <w:rsid w:val="6D122786"/>
    <w:rsid w:val="6D372F2F"/>
    <w:rsid w:val="6DB4165C"/>
    <w:rsid w:val="6DF17715"/>
    <w:rsid w:val="6E562DEA"/>
    <w:rsid w:val="6E636884"/>
    <w:rsid w:val="6E796D96"/>
    <w:rsid w:val="6F0E2CEA"/>
    <w:rsid w:val="6F2655BA"/>
    <w:rsid w:val="6F4F64E0"/>
    <w:rsid w:val="6FD5620C"/>
    <w:rsid w:val="6FED33AB"/>
    <w:rsid w:val="70A17A55"/>
    <w:rsid w:val="70BD23C8"/>
    <w:rsid w:val="70DB4BC3"/>
    <w:rsid w:val="714A4F7E"/>
    <w:rsid w:val="718C3389"/>
    <w:rsid w:val="71A4380C"/>
    <w:rsid w:val="71C10A5E"/>
    <w:rsid w:val="721B0102"/>
    <w:rsid w:val="72231381"/>
    <w:rsid w:val="72693F13"/>
    <w:rsid w:val="72803C0E"/>
    <w:rsid w:val="72DF0678"/>
    <w:rsid w:val="73266A37"/>
    <w:rsid w:val="732F3EA7"/>
    <w:rsid w:val="734F6EFF"/>
    <w:rsid w:val="73925EE9"/>
    <w:rsid w:val="73FB1FE8"/>
    <w:rsid w:val="7490634C"/>
    <w:rsid w:val="749C6BD9"/>
    <w:rsid w:val="74DE1106"/>
    <w:rsid w:val="750531E1"/>
    <w:rsid w:val="75AF6D19"/>
    <w:rsid w:val="772A3632"/>
    <w:rsid w:val="773B1CA0"/>
    <w:rsid w:val="77DA3BC7"/>
    <w:rsid w:val="77DA49CF"/>
    <w:rsid w:val="78696DCF"/>
    <w:rsid w:val="78AC57DD"/>
    <w:rsid w:val="790E0842"/>
    <w:rsid w:val="79962BB8"/>
    <w:rsid w:val="79BF0DBC"/>
    <w:rsid w:val="79F86882"/>
    <w:rsid w:val="7A3E3F52"/>
    <w:rsid w:val="7B76395E"/>
    <w:rsid w:val="7BF67B14"/>
    <w:rsid w:val="7C3567B0"/>
    <w:rsid w:val="7CA616D8"/>
    <w:rsid w:val="7DEE196E"/>
    <w:rsid w:val="7EE3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49"/>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866" w:hanging="490"/>
      <w:outlineLvl w:val="2"/>
    </w:pPr>
    <w:rPr>
      <w:sz w:val="28"/>
      <w:szCs w:val="28"/>
    </w:rPr>
  </w:style>
  <w:style w:type="paragraph" w:styleId="6">
    <w:name w:val="heading 4"/>
    <w:basedOn w:val="1"/>
    <w:next w:val="1"/>
    <w:qFormat/>
    <w:uiPriority w:val="1"/>
    <w:pPr>
      <w:ind w:left="240" w:firstLine="479"/>
      <w:outlineLvl w:val="3"/>
    </w:pPr>
    <w:rPr>
      <w:sz w:val="24"/>
      <w:szCs w:val="24"/>
    </w:rPr>
  </w:style>
  <w:style w:type="paragraph" w:styleId="7">
    <w:name w:val="heading 5"/>
    <w:basedOn w:val="1"/>
    <w:next w:val="1"/>
    <w:qFormat/>
    <w:uiPriority w:val="1"/>
    <w:pPr>
      <w:ind w:left="1188" w:hanging="527"/>
      <w:outlineLvl w:val="4"/>
    </w:pPr>
    <w:rPr>
      <w:rFonts w:ascii="Microsoft JhengHei" w:hAnsi="Microsoft JhengHei" w:eastAsia="Microsoft JhengHei" w:cs="Microsoft JhengHei"/>
      <w:b/>
      <w:bCs/>
      <w:sz w:val="21"/>
      <w:szCs w:val="21"/>
    </w:rPr>
  </w:style>
  <w:style w:type="character" w:default="1" w:styleId="32">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2"/>
    <w:qFormat/>
    <w:uiPriority w:val="1"/>
    <w:rPr>
      <w:sz w:val="21"/>
      <w:szCs w:val="21"/>
    </w:rPr>
  </w:style>
  <w:style w:type="paragraph" w:styleId="8">
    <w:name w:val="Normal Indent"/>
    <w:basedOn w:val="1"/>
    <w:qFormat/>
    <w:uiPriority w:val="0"/>
    <w:pPr>
      <w:ind w:firstLine="200" w:firstLineChars="200"/>
      <w:jc w:val="both"/>
    </w:pPr>
    <w:rPr>
      <w:rFonts w:ascii="Calibri" w:hAnsi="Calibri" w:cs="Times New Roman"/>
      <w:kern w:val="2"/>
      <w:sz w:val="21"/>
      <w:szCs w:val="24"/>
      <w:lang w:val="en-US" w:bidi="ar-SA"/>
    </w:rPr>
  </w:style>
  <w:style w:type="paragraph" w:styleId="9">
    <w:name w:val="Document Map"/>
    <w:basedOn w:val="1"/>
    <w:link w:val="46"/>
    <w:qFormat/>
    <w:uiPriority w:val="0"/>
    <w:rPr>
      <w:sz w:val="18"/>
      <w:szCs w:val="18"/>
    </w:rPr>
  </w:style>
  <w:style w:type="paragraph" w:styleId="10">
    <w:name w:val="annotation text"/>
    <w:basedOn w:val="1"/>
    <w:link w:val="47"/>
    <w:qFormat/>
    <w:uiPriority w:val="0"/>
  </w:style>
  <w:style w:type="paragraph" w:styleId="11">
    <w:name w:val="Body Text 3"/>
    <w:basedOn w:val="1"/>
    <w:qFormat/>
    <w:uiPriority w:val="0"/>
    <w:rPr>
      <w:sz w:val="24"/>
    </w:rPr>
  </w:style>
  <w:style w:type="paragraph" w:styleId="12">
    <w:name w:val="Body Text Indent"/>
    <w:basedOn w:val="1"/>
    <w:link w:val="57"/>
    <w:unhideWhenUsed/>
    <w:qFormat/>
    <w:uiPriority w:val="0"/>
    <w:pPr>
      <w:spacing w:after="120"/>
      <w:ind w:left="420" w:leftChars="200"/>
    </w:pPr>
  </w:style>
  <w:style w:type="paragraph" w:styleId="13">
    <w:name w:val="toc 3"/>
    <w:basedOn w:val="1"/>
    <w:next w:val="1"/>
    <w:qFormat/>
    <w:uiPriority w:val="1"/>
    <w:pPr>
      <w:spacing w:before="2"/>
      <w:ind w:left="1450" w:hanging="370"/>
    </w:pPr>
    <w:rPr>
      <w:sz w:val="21"/>
      <w:szCs w:val="21"/>
    </w:rPr>
  </w:style>
  <w:style w:type="paragraph" w:styleId="14">
    <w:name w:val="Plain Text"/>
    <w:basedOn w:val="1"/>
    <w:link w:val="53"/>
    <w:qFormat/>
    <w:uiPriority w:val="0"/>
    <w:rPr>
      <w:rFonts w:hAnsi="Courier New"/>
      <w:szCs w:val="21"/>
    </w:rPr>
  </w:style>
  <w:style w:type="paragraph" w:styleId="15">
    <w:name w:val="Body Text Indent 2"/>
    <w:basedOn w:val="1"/>
    <w:qFormat/>
    <w:uiPriority w:val="0"/>
    <w:pPr>
      <w:spacing w:after="120" w:line="480" w:lineRule="auto"/>
      <w:ind w:left="420" w:leftChars="200"/>
    </w:pPr>
    <w:rPr>
      <w:rFonts w:ascii="Times New Roman" w:hAnsi="Times New Roman"/>
      <w:sz w:val="24"/>
      <w:szCs w:val="24"/>
    </w:rPr>
  </w:style>
  <w:style w:type="paragraph" w:styleId="16">
    <w:name w:val="Balloon Text"/>
    <w:basedOn w:val="1"/>
    <w:link w:val="45"/>
    <w:qFormat/>
    <w:uiPriority w:val="0"/>
    <w:rPr>
      <w:sz w:val="18"/>
      <w:szCs w:val="18"/>
    </w:rPr>
  </w:style>
  <w:style w:type="paragraph" w:styleId="17">
    <w:name w:val="footer"/>
    <w:basedOn w:val="1"/>
    <w:link w:val="44"/>
    <w:qFormat/>
    <w:uiPriority w:val="99"/>
    <w:pPr>
      <w:tabs>
        <w:tab w:val="center" w:pos="4153"/>
        <w:tab w:val="right" w:pos="8306"/>
      </w:tabs>
      <w:snapToGrid w:val="0"/>
    </w:pPr>
    <w:rPr>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2"/>
      <w:ind w:right="703"/>
      <w:jc w:val="right"/>
    </w:pPr>
    <w:rPr>
      <w:sz w:val="21"/>
      <w:szCs w:val="21"/>
    </w:rPr>
  </w:style>
  <w:style w:type="paragraph" w:styleId="20">
    <w:name w:val="toc 2"/>
    <w:basedOn w:val="1"/>
    <w:next w:val="1"/>
    <w:qFormat/>
    <w:uiPriority w:val="1"/>
    <w:pPr>
      <w:spacing w:before="5"/>
      <w:ind w:left="660"/>
    </w:pPr>
    <w:rPr>
      <w:sz w:val="21"/>
      <w:szCs w:val="21"/>
    </w:rPr>
  </w:style>
  <w:style w:type="paragraph" w:styleId="21">
    <w:name w:val="Normal (Web)"/>
    <w:basedOn w:val="1"/>
    <w:qFormat/>
    <w:uiPriority w:val="0"/>
    <w:pPr>
      <w:widowControl/>
      <w:spacing w:beforeAutospacing="1" w:afterAutospacing="1"/>
    </w:pPr>
    <w:rPr>
      <w:sz w:val="24"/>
    </w:rPr>
  </w:style>
  <w:style w:type="paragraph" w:styleId="22">
    <w:name w:val="annotation subject"/>
    <w:basedOn w:val="10"/>
    <w:next w:val="10"/>
    <w:link w:val="48"/>
    <w:qFormat/>
    <w:uiPriority w:val="0"/>
    <w:rPr>
      <w:b/>
      <w:bCs/>
    </w:rPr>
  </w:style>
  <w:style w:type="paragraph" w:styleId="23">
    <w:name w:val="Body Text First Indent 2"/>
    <w:basedOn w:val="12"/>
    <w:link w:val="58"/>
    <w:unhideWhenUsed/>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Medium Grid 3 Accent 1"/>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7">
    <w:name w:val="Medium Grid 3 Accent 2"/>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8">
    <w:name w:val="Medium Grid 3 Accent 3"/>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9">
    <w:name w:val="Medium Grid 3 Accent 4"/>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0">
    <w:name w:val="Medium Grid 3 Accent 5"/>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1">
    <w:name w:val="Medium Grid 3 Accent 6"/>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3">
    <w:name w:val="Hyperlink"/>
    <w:basedOn w:val="32"/>
    <w:unhideWhenUsed/>
    <w:qFormat/>
    <w:uiPriority w:val="99"/>
    <w:rPr>
      <w:color w:val="0000FF" w:themeColor="hyperlink"/>
      <w:u w:val="single"/>
      <w14:textFill>
        <w14:solidFill>
          <w14:schemeClr w14:val="hlink"/>
        </w14:solidFill>
      </w14:textFill>
    </w:rPr>
  </w:style>
  <w:style w:type="character" w:styleId="34">
    <w:name w:val="annotation reference"/>
    <w:basedOn w:val="32"/>
    <w:qFormat/>
    <w:uiPriority w:val="0"/>
    <w:rPr>
      <w:sz w:val="21"/>
      <w:szCs w:val="21"/>
    </w:rPr>
  </w:style>
  <w:style w:type="paragraph" w:customStyle="1" w:styleId="35">
    <w:name w:val="Index8"/>
    <w:basedOn w:val="1"/>
    <w:next w:val="1"/>
    <w:qFormat/>
    <w:uiPriority w:val="0"/>
    <w:pPr>
      <w:spacing w:line="276" w:lineRule="auto"/>
    </w:pPr>
    <w:rPr>
      <w:color w:val="FF0000"/>
      <w:szCs w:val="21"/>
    </w:rPr>
  </w:style>
  <w:style w:type="table" w:customStyle="1" w:styleId="36">
    <w:name w:val="中等深浅网格 31"/>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37">
    <w:name w:val="Table Normal"/>
    <w:qFormat/>
    <w:uiPriority w:val="2"/>
    <w:tblPr>
      <w:tblCellMar>
        <w:top w:w="0" w:type="dxa"/>
        <w:left w:w="0" w:type="dxa"/>
        <w:bottom w:w="0" w:type="dxa"/>
        <w:right w:w="0" w:type="dxa"/>
      </w:tblCellMar>
    </w:tblPr>
  </w:style>
  <w:style w:type="paragraph" w:customStyle="1" w:styleId="38">
    <w:name w:val="列表段落1"/>
    <w:basedOn w:val="1"/>
    <w:qFormat/>
    <w:uiPriority w:val="1"/>
    <w:pPr>
      <w:ind w:left="240" w:firstLine="419"/>
    </w:pPr>
  </w:style>
  <w:style w:type="paragraph" w:customStyle="1" w:styleId="39">
    <w:name w:val="Table Paragraph"/>
    <w:basedOn w:val="1"/>
    <w:qFormat/>
    <w:uiPriority w:val="1"/>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3">
    <w:name w:val="页眉 字符"/>
    <w:basedOn w:val="32"/>
    <w:link w:val="18"/>
    <w:qFormat/>
    <w:uiPriority w:val="0"/>
    <w:rPr>
      <w:rFonts w:ascii="宋体" w:hAnsi="宋体" w:cs="宋体"/>
      <w:sz w:val="18"/>
      <w:szCs w:val="18"/>
      <w:lang w:val="zh-CN" w:bidi="zh-CN"/>
    </w:rPr>
  </w:style>
  <w:style w:type="character" w:customStyle="1" w:styleId="44">
    <w:name w:val="页脚 字符"/>
    <w:basedOn w:val="32"/>
    <w:link w:val="17"/>
    <w:qFormat/>
    <w:uiPriority w:val="99"/>
    <w:rPr>
      <w:rFonts w:ascii="宋体" w:hAnsi="宋体" w:cs="宋体"/>
      <w:sz w:val="18"/>
      <w:szCs w:val="18"/>
      <w:lang w:val="zh-CN" w:bidi="zh-CN"/>
    </w:rPr>
  </w:style>
  <w:style w:type="character" w:customStyle="1" w:styleId="45">
    <w:name w:val="批注框文本 字符"/>
    <w:basedOn w:val="32"/>
    <w:link w:val="16"/>
    <w:qFormat/>
    <w:uiPriority w:val="0"/>
    <w:rPr>
      <w:rFonts w:ascii="宋体" w:hAnsi="宋体" w:cs="宋体"/>
      <w:sz w:val="18"/>
      <w:szCs w:val="18"/>
      <w:lang w:val="zh-CN" w:bidi="zh-CN"/>
    </w:rPr>
  </w:style>
  <w:style w:type="character" w:customStyle="1" w:styleId="46">
    <w:name w:val="文档结构图 字符"/>
    <w:basedOn w:val="32"/>
    <w:link w:val="9"/>
    <w:qFormat/>
    <w:uiPriority w:val="0"/>
    <w:rPr>
      <w:rFonts w:ascii="宋体" w:hAnsi="宋体" w:eastAsia="宋体" w:cs="宋体"/>
      <w:sz w:val="18"/>
      <w:szCs w:val="18"/>
      <w:lang w:val="zh-CN" w:bidi="zh-CN"/>
    </w:rPr>
  </w:style>
  <w:style w:type="character" w:customStyle="1" w:styleId="47">
    <w:name w:val="批注文字 字符"/>
    <w:basedOn w:val="32"/>
    <w:link w:val="10"/>
    <w:qFormat/>
    <w:uiPriority w:val="0"/>
    <w:rPr>
      <w:rFonts w:ascii="宋体" w:hAnsi="宋体" w:cs="宋体"/>
      <w:sz w:val="22"/>
      <w:szCs w:val="22"/>
      <w:lang w:val="zh-CN" w:bidi="zh-CN"/>
    </w:rPr>
  </w:style>
  <w:style w:type="character" w:customStyle="1" w:styleId="48">
    <w:name w:val="批注主题 字符"/>
    <w:basedOn w:val="47"/>
    <w:link w:val="22"/>
    <w:qFormat/>
    <w:uiPriority w:val="0"/>
    <w:rPr>
      <w:rFonts w:ascii="宋体" w:hAnsi="宋体" w:cs="宋体"/>
      <w:b/>
      <w:bCs/>
      <w:sz w:val="22"/>
      <w:szCs w:val="22"/>
      <w:lang w:val="zh-CN" w:bidi="zh-CN"/>
    </w:rPr>
  </w:style>
  <w:style w:type="character" w:customStyle="1" w:styleId="49">
    <w:name w:val="标题 1 字符"/>
    <w:link w:val="3"/>
    <w:qFormat/>
    <w:uiPriority w:val="1"/>
    <w:rPr>
      <w:rFonts w:ascii="Microsoft JhengHei" w:hAnsi="Microsoft JhengHei" w:eastAsia="Microsoft JhengHei" w:cs="Microsoft JhengHei"/>
      <w:b/>
      <w:bCs/>
      <w:sz w:val="44"/>
      <w:szCs w:val="44"/>
    </w:rPr>
  </w:style>
  <w:style w:type="paragraph" w:customStyle="1" w:styleId="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1">
    <w:name w:val="样式 WG标题2 + 行距: 固定值 18 磅"/>
    <w:basedOn w:val="1"/>
    <w:qFormat/>
    <w:uiPriority w:val="0"/>
    <w:pPr>
      <w:adjustRightInd w:val="0"/>
      <w:spacing w:line="360" w:lineRule="exact"/>
      <w:textAlignment w:val="baseline"/>
      <w:outlineLvl w:val="1"/>
    </w:pPr>
    <w:rPr>
      <w:rFonts w:ascii="仿宋_GB2312"/>
      <w:b/>
      <w:bCs/>
      <w:color w:val="000000"/>
      <w:kern w:val="20"/>
      <w:sz w:val="24"/>
    </w:rPr>
  </w:style>
  <w:style w:type="character" w:customStyle="1" w:styleId="52">
    <w:name w:val="正文文本 字符"/>
    <w:basedOn w:val="32"/>
    <w:link w:val="2"/>
    <w:qFormat/>
    <w:uiPriority w:val="1"/>
    <w:rPr>
      <w:rFonts w:ascii="宋体" w:hAnsi="宋体" w:cs="宋体"/>
      <w:sz w:val="21"/>
      <w:szCs w:val="21"/>
      <w:lang w:val="zh-CN" w:bidi="zh-CN"/>
    </w:rPr>
  </w:style>
  <w:style w:type="character" w:customStyle="1" w:styleId="53">
    <w:name w:val="纯文本 字符"/>
    <w:basedOn w:val="32"/>
    <w:link w:val="14"/>
    <w:qFormat/>
    <w:uiPriority w:val="0"/>
    <w:rPr>
      <w:rFonts w:ascii="宋体" w:hAnsi="Courier New" w:cs="宋体"/>
      <w:sz w:val="22"/>
      <w:szCs w:val="21"/>
      <w:lang w:val="zh-CN" w:bidi="zh-CN"/>
    </w:rPr>
  </w:style>
  <w:style w:type="paragraph" w:customStyle="1" w:styleId="54">
    <w:name w:val="正文1"/>
    <w:basedOn w:val="1"/>
    <w:qFormat/>
    <w:uiPriority w:val="0"/>
    <w:pPr>
      <w:autoSpaceDE/>
      <w:autoSpaceDN/>
      <w:adjustRightInd w:val="0"/>
      <w:snapToGrid w:val="0"/>
      <w:spacing w:line="360" w:lineRule="auto"/>
      <w:ind w:left="22" w:leftChars="8" w:firstLine="560" w:firstLineChars="200"/>
      <w:jc w:val="both"/>
    </w:pPr>
    <w:rPr>
      <w:rFonts w:ascii="Times New Roman" w:hAnsi="Times New Roman" w:eastAsia="仿宋_GB2312" w:cs="Times New Roman"/>
      <w:color w:val="000000"/>
      <w:kern w:val="2"/>
      <w:sz w:val="28"/>
      <w:szCs w:val="21"/>
      <w:lang w:val="en-US" w:bidi="ar-SA"/>
    </w:rPr>
  </w:style>
  <w:style w:type="character" w:customStyle="1" w:styleId="55">
    <w:name w:val="fontstyle01"/>
    <w:basedOn w:val="32"/>
    <w:qFormat/>
    <w:uiPriority w:val="0"/>
    <w:rPr>
      <w:rFonts w:ascii="宋体" w:hAnsi="宋体" w:eastAsia="宋体" w:cs="宋体"/>
      <w:color w:val="000000"/>
      <w:sz w:val="24"/>
      <w:szCs w:val="24"/>
    </w:rPr>
  </w:style>
  <w:style w:type="character" w:customStyle="1" w:styleId="56">
    <w:name w:val="fontstyle21"/>
    <w:basedOn w:val="32"/>
    <w:qFormat/>
    <w:uiPriority w:val="0"/>
    <w:rPr>
      <w:rFonts w:ascii="Calibri" w:hAnsi="Calibri" w:cs="Calibri"/>
      <w:color w:val="000000"/>
      <w:sz w:val="24"/>
      <w:szCs w:val="24"/>
    </w:rPr>
  </w:style>
  <w:style w:type="character" w:customStyle="1" w:styleId="57">
    <w:name w:val="正文文本缩进 字符"/>
    <w:basedOn w:val="32"/>
    <w:link w:val="12"/>
    <w:semiHidden/>
    <w:qFormat/>
    <w:uiPriority w:val="0"/>
    <w:rPr>
      <w:rFonts w:ascii="宋体" w:hAnsi="宋体" w:cs="宋体"/>
      <w:sz w:val="22"/>
      <w:szCs w:val="22"/>
      <w:lang w:val="zh-CN" w:bidi="zh-CN"/>
    </w:rPr>
  </w:style>
  <w:style w:type="character" w:customStyle="1" w:styleId="58">
    <w:name w:val="正文文本首行缩进 2 字符"/>
    <w:basedOn w:val="57"/>
    <w:link w:val="23"/>
    <w:semiHidden/>
    <w:qFormat/>
    <w:uiPriority w:val="0"/>
    <w:rPr>
      <w:rFonts w:ascii="宋体" w:hAnsi="宋体" w:cs="宋体"/>
      <w:sz w:val="22"/>
      <w:szCs w:val="22"/>
      <w:lang w:val="zh-CN" w:bidi="zh-CN"/>
    </w:rPr>
  </w:style>
  <w:style w:type="paragraph" w:customStyle="1" w:styleId="59">
    <w:name w:val="p0"/>
    <w:basedOn w:val="1"/>
    <w:qFormat/>
    <w:uiPriority w:val="0"/>
    <w:pPr>
      <w:widowControl/>
      <w:autoSpaceDE/>
      <w:autoSpaceDN/>
      <w:jc w:val="both"/>
    </w:pPr>
    <w:rPr>
      <w:rFonts w:ascii="Times New Roman" w:hAnsi="Times New Roman" w:cs="Times New Roman"/>
      <w:sz w:val="21"/>
      <w:szCs w:val="21"/>
      <w:lang w:val="en-US" w:bidi="ar-SA"/>
    </w:rPr>
  </w:style>
  <w:style w:type="paragraph" w:customStyle="1" w:styleId="6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23633</Words>
  <Characters>24712</Characters>
  <Lines>196</Lines>
  <Paragraphs>55</Paragraphs>
  <TotalTime>1</TotalTime>
  <ScaleCrop>false</ScaleCrop>
  <LinksUpToDate>false</LinksUpToDate>
  <CharactersWithSpaces>26151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2019-08-19T10:25:00Z</dcterms:created>
  <dc:creator>Administrator</dc:creator>
  <cp:lastModifiedBy>霞</cp:lastModifiedBy>
  <cp:lastPrinted>2021-04-26T16:13:00Z</cp:lastPrinted>
  <dcterms:modified xsi:type="dcterms:W3CDTF">2022-11-22T21:21:19Z</dcterms:modified>
  <dc:title>中华人民共和国</dc:title>
  <cp:revision>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2019-03-21T00:00:00Z</vt:filetime>
  </property>
  <property fmtid="{D5CDD505-2E9C-101B-9397-08002B2CF9AE}" pid="5" name="KSOProductBuildVer">
    <vt:lpwstr>2052-4.6.1.7467</vt:lpwstr>
  </property>
  <property fmtid="{D5CDD505-2E9C-101B-9397-08002B2CF9AE}" pid="6" name="ICV">
    <vt:lpwstr>647E9997FD0A722ACFCC7C633976F45E</vt:lpwstr>
  </property>
</Properties>
</file>